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1753" w14:textId="77777777" w:rsidR="00A32A92" w:rsidRPr="00E56E66" w:rsidRDefault="00A32A92" w:rsidP="00A32A92">
      <w:pPr>
        <w:pStyle w:val="Potsikko"/>
        <w:rPr>
          <w:rFonts w:eastAsiaTheme="minorHAnsi"/>
          <w:b w:val="0"/>
        </w:rPr>
      </w:pPr>
      <w:r>
        <w:rPr>
          <w:rFonts w:eastAsiaTheme="minorHAnsi"/>
        </w:rPr>
        <w:t>Pohjois-Pohjanmaan hyvinvointialueen k</w:t>
      </w:r>
      <w:r w:rsidRPr="00E56E66">
        <w:rPr>
          <w:rFonts w:eastAsiaTheme="minorHAnsi"/>
        </w:rPr>
        <w:t xml:space="preserve">uvantamisen </w:t>
      </w:r>
      <w:r>
        <w:rPr>
          <w:rFonts w:eastAsiaTheme="minorHAnsi"/>
        </w:rPr>
        <w:t xml:space="preserve">vastuualueen </w:t>
      </w:r>
      <w:r w:rsidRPr="00E56E66">
        <w:rPr>
          <w:rFonts w:eastAsiaTheme="minorHAnsi"/>
        </w:rPr>
        <w:t>röntgentoiminn</w:t>
      </w:r>
      <w:r>
        <w:rPr>
          <w:rFonts w:eastAsiaTheme="minorHAnsi"/>
        </w:rPr>
        <w:t>an säteilyn käytön turvallisuus</w:t>
      </w:r>
      <w:r w:rsidRPr="00E56E66">
        <w:rPr>
          <w:rFonts w:eastAsiaTheme="minorHAnsi"/>
        </w:rPr>
        <w:t>arvio</w:t>
      </w:r>
    </w:p>
    <w:tbl>
      <w:tblPr>
        <w:tblStyle w:val="TaulukkoRuudukko"/>
        <w:tblW w:w="10343" w:type="dxa"/>
        <w:tblLook w:val="04A0" w:firstRow="1" w:lastRow="0" w:firstColumn="1" w:lastColumn="0" w:noHBand="0" w:noVBand="1"/>
      </w:tblPr>
      <w:tblGrid>
        <w:gridCol w:w="1696"/>
        <w:gridCol w:w="6237"/>
        <w:gridCol w:w="2410"/>
      </w:tblGrid>
      <w:tr w:rsidR="00A32A92" w:rsidRPr="00F66D45" w14:paraId="57E38010" w14:textId="77777777" w:rsidTr="008B4EAF">
        <w:trPr>
          <w:trHeight w:val="311"/>
        </w:trPr>
        <w:tc>
          <w:tcPr>
            <w:tcW w:w="1696" w:type="dxa"/>
          </w:tcPr>
          <w:p w14:paraId="0A9F9782" w14:textId="77777777" w:rsidR="00A32A92" w:rsidRPr="00F66D45" w:rsidRDefault="00A32A92" w:rsidP="008B4EAF">
            <w:pPr>
              <w:jc w:val="both"/>
              <w:rPr>
                <w:b/>
                <w:bCs/>
                <w:sz w:val="18"/>
                <w:szCs w:val="18"/>
              </w:rPr>
            </w:pPr>
            <w:bookmarkStart w:id="0" w:name="_bg8izzy8ckfe"/>
            <w:bookmarkEnd w:id="0"/>
            <w:r w:rsidRPr="00F66D45">
              <w:rPr>
                <w:b/>
                <w:bCs/>
                <w:sz w:val="18"/>
                <w:szCs w:val="18"/>
              </w:rPr>
              <w:t>Päiväys</w:t>
            </w:r>
          </w:p>
        </w:tc>
        <w:tc>
          <w:tcPr>
            <w:tcW w:w="6237" w:type="dxa"/>
          </w:tcPr>
          <w:p w14:paraId="27840D3A" w14:textId="77777777" w:rsidR="00A32A92" w:rsidRPr="00F66D45" w:rsidRDefault="00A32A92" w:rsidP="008B4EAF">
            <w:pPr>
              <w:jc w:val="both"/>
              <w:rPr>
                <w:b/>
                <w:bCs/>
                <w:sz w:val="18"/>
                <w:szCs w:val="18"/>
              </w:rPr>
            </w:pPr>
            <w:r w:rsidRPr="00F66D45">
              <w:rPr>
                <w:b/>
                <w:bCs/>
                <w:sz w:val="18"/>
                <w:szCs w:val="18"/>
              </w:rPr>
              <w:t>Muutokset</w:t>
            </w:r>
          </w:p>
        </w:tc>
        <w:tc>
          <w:tcPr>
            <w:tcW w:w="2410" w:type="dxa"/>
          </w:tcPr>
          <w:p w14:paraId="0FFC29FD" w14:textId="77777777" w:rsidR="00A32A92" w:rsidRPr="00F66D45" w:rsidRDefault="00A32A92" w:rsidP="008B4EAF">
            <w:pPr>
              <w:jc w:val="both"/>
              <w:rPr>
                <w:b/>
                <w:bCs/>
                <w:sz w:val="18"/>
                <w:szCs w:val="18"/>
              </w:rPr>
            </w:pPr>
            <w:r w:rsidRPr="00F66D45">
              <w:rPr>
                <w:b/>
                <w:bCs/>
                <w:sz w:val="18"/>
                <w:szCs w:val="18"/>
              </w:rPr>
              <w:t>Tekijät</w:t>
            </w:r>
          </w:p>
        </w:tc>
      </w:tr>
      <w:tr w:rsidR="00A32A92" w:rsidRPr="00F66D45" w14:paraId="62ED8215" w14:textId="77777777" w:rsidTr="008B4EAF">
        <w:trPr>
          <w:trHeight w:val="409"/>
        </w:trPr>
        <w:tc>
          <w:tcPr>
            <w:tcW w:w="1696" w:type="dxa"/>
          </w:tcPr>
          <w:p w14:paraId="4DB4C5A5" w14:textId="77777777" w:rsidR="00A32A92" w:rsidRPr="00F66D45" w:rsidRDefault="00A32A92" w:rsidP="008B4EAF">
            <w:pPr>
              <w:jc w:val="both"/>
              <w:rPr>
                <w:bCs/>
                <w:sz w:val="18"/>
                <w:szCs w:val="18"/>
              </w:rPr>
            </w:pPr>
            <w:r>
              <w:rPr>
                <w:bCs/>
                <w:sz w:val="18"/>
                <w:szCs w:val="18"/>
              </w:rPr>
              <w:t>22.6.2023</w:t>
            </w:r>
          </w:p>
        </w:tc>
        <w:tc>
          <w:tcPr>
            <w:tcW w:w="6237" w:type="dxa"/>
          </w:tcPr>
          <w:p w14:paraId="2B0F30FF" w14:textId="77777777" w:rsidR="00A32A92" w:rsidRPr="00F66D45" w:rsidRDefault="00A32A92" w:rsidP="008B4EAF">
            <w:pPr>
              <w:jc w:val="both"/>
              <w:rPr>
                <w:bCs/>
                <w:sz w:val="18"/>
                <w:szCs w:val="18"/>
              </w:rPr>
            </w:pPr>
            <w:r>
              <w:rPr>
                <w:bCs/>
                <w:sz w:val="18"/>
                <w:szCs w:val="18"/>
              </w:rPr>
              <w:t>Lisätty säteilyn käyttöpaikaksi Dentopolis 1. krs Oulu</w:t>
            </w:r>
          </w:p>
        </w:tc>
        <w:tc>
          <w:tcPr>
            <w:tcW w:w="2410" w:type="dxa"/>
          </w:tcPr>
          <w:p w14:paraId="00D76941" w14:textId="77777777" w:rsidR="00A32A92" w:rsidRPr="00F66D45" w:rsidRDefault="00A32A92" w:rsidP="008B4EAF">
            <w:pPr>
              <w:jc w:val="both"/>
              <w:rPr>
                <w:bCs/>
                <w:sz w:val="18"/>
                <w:szCs w:val="18"/>
              </w:rPr>
            </w:pPr>
            <w:r>
              <w:rPr>
                <w:bCs/>
                <w:sz w:val="18"/>
                <w:szCs w:val="18"/>
              </w:rPr>
              <w:t>Raija Honkanen</w:t>
            </w:r>
          </w:p>
        </w:tc>
      </w:tr>
      <w:tr w:rsidR="00A32A92" w:rsidRPr="00F66D45" w14:paraId="7063C239" w14:textId="77777777" w:rsidTr="008B4EAF">
        <w:trPr>
          <w:trHeight w:val="409"/>
        </w:trPr>
        <w:tc>
          <w:tcPr>
            <w:tcW w:w="1696" w:type="dxa"/>
          </w:tcPr>
          <w:p w14:paraId="4CA4448F" w14:textId="77777777" w:rsidR="00A32A92" w:rsidRPr="00F66D45" w:rsidRDefault="00A32A92" w:rsidP="008B4EAF">
            <w:pPr>
              <w:jc w:val="both"/>
              <w:rPr>
                <w:bCs/>
                <w:sz w:val="18"/>
                <w:szCs w:val="18"/>
              </w:rPr>
            </w:pPr>
            <w:r>
              <w:rPr>
                <w:bCs/>
                <w:sz w:val="18"/>
                <w:szCs w:val="18"/>
              </w:rPr>
              <w:t>26.3.2024</w:t>
            </w:r>
          </w:p>
        </w:tc>
        <w:tc>
          <w:tcPr>
            <w:tcW w:w="6237" w:type="dxa"/>
          </w:tcPr>
          <w:p w14:paraId="54E6FA97" w14:textId="77777777" w:rsidR="00A32A92" w:rsidRPr="00F66D45" w:rsidRDefault="00A32A92" w:rsidP="008B4EAF">
            <w:pPr>
              <w:jc w:val="both"/>
              <w:rPr>
                <w:bCs/>
                <w:sz w:val="18"/>
                <w:szCs w:val="18"/>
              </w:rPr>
            </w:pPr>
            <w:r>
              <w:rPr>
                <w:bCs/>
                <w:sz w:val="18"/>
                <w:szCs w:val="18"/>
              </w:rPr>
              <w:t>Poistettu Vaalan röntgen kuvausyksiköistä</w:t>
            </w:r>
          </w:p>
        </w:tc>
        <w:tc>
          <w:tcPr>
            <w:tcW w:w="2410" w:type="dxa"/>
          </w:tcPr>
          <w:p w14:paraId="3C284820" w14:textId="77777777" w:rsidR="00A32A92" w:rsidRPr="00F66D45" w:rsidRDefault="00A32A92" w:rsidP="008B4EAF">
            <w:pPr>
              <w:jc w:val="both"/>
              <w:rPr>
                <w:bCs/>
                <w:sz w:val="18"/>
                <w:szCs w:val="18"/>
              </w:rPr>
            </w:pPr>
            <w:r>
              <w:rPr>
                <w:bCs/>
                <w:sz w:val="18"/>
                <w:szCs w:val="18"/>
              </w:rPr>
              <w:t>Raija Honkanen</w:t>
            </w:r>
          </w:p>
        </w:tc>
      </w:tr>
      <w:tr w:rsidR="00A32A92" w:rsidRPr="00F66D45" w14:paraId="399BBC80" w14:textId="77777777" w:rsidTr="008B4EAF">
        <w:trPr>
          <w:trHeight w:val="409"/>
        </w:trPr>
        <w:tc>
          <w:tcPr>
            <w:tcW w:w="1696" w:type="dxa"/>
          </w:tcPr>
          <w:p w14:paraId="3E1EF34D" w14:textId="50D853D5" w:rsidR="00A32A92" w:rsidRPr="00F66D45" w:rsidRDefault="00A32A92" w:rsidP="008B4EAF">
            <w:pPr>
              <w:jc w:val="both"/>
              <w:rPr>
                <w:bCs/>
                <w:sz w:val="18"/>
                <w:szCs w:val="18"/>
              </w:rPr>
            </w:pPr>
            <w:r>
              <w:rPr>
                <w:bCs/>
                <w:sz w:val="18"/>
                <w:szCs w:val="18"/>
              </w:rPr>
              <w:t>8.1.2025</w:t>
            </w:r>
          </w:p>
        </w:tc>
        <w:tc>
          <w:tcPr>
            <w:tcW w:w="6237" w:type="dxa"/>
          </w:tcPr>
          <w:p w14:paraId="4468AEB5" w14:textId="78749263" w:rsidR="00A32A92" w:rsidRPr="00F66D45" w:rsidRDefault="00A32A92" w:rsidP="008B4EAF">
            <w:pPr>
              <w:jc w:val="both"/>
              <w:rPr>
                <w:bCs/>
                <w:sz w:val="18"/>
                <w:szCs w:val="18"/>
              </w:rPr>
            </w:pPr>
            <w:r>
              <w:rPr>
                <w:bCs/>
                <w:sz w:val="18"/>
                <w:szCs w:val="18"/>
              </w:rPr>
              <w:t xml:space="preserve">Haapaveden röntgen </w:t>
            </w:r>
            <w:r w:rsidR="00F96B8E">
              <w:rPr>
                <w:bCs/>
                <w:sz w:val="18"/>
                <w:szCs w:val="18"/>
              </w:rPr>
              <w:t>poistettu</w:t>
            </w:r>
          </w:p>
        </w:tc>
        <w:tc>
          <w:tcPr>
            <w:tcW w:w="2410" w:type="dxa"/>
          </w:tcPr>
          <w:p w14:paraId="7F033882" w14:textId="01E0B4C3" w:rsidR="00A32A92" w:rsidRPr="00F66D45" w:rsidRDefault="00A32A92" w:rsidP="008B4EAF">
            <w:pPr>
              <w:jc w:val="both"/>
              <w:rPr>
                <w:bCs/>
                <w:sz w:val="18"/>
                <w:szCs w:val="18"/>
              </w:rPr>
            </w:pPr>
            <w:r>
              <w:rPr>
                <w:bCs/>
                <w:sz w:val="18"/>
                <w:szCs w:val="18"/>
              </w:rPr>
              <w:t>Raija Honkanen</w:t>
            </w:r>
          </w:p>
        </w:tc>
      </w:tr>
    </w:tbl>
    <w:p w14:paraId="269B5C49" w14:textId="77777777" w:rsidR="00A32A92" w:rsidRDefault="00A32A92" w:rsidP="00A32A92">
      <w:pPr>
        <w:jc w:val="both"/>
        <w:rPr>
          <w:b/>
          <w:bCs/>
        </w:rPr>
      </w:pPr>
    </w:p>
    <w:p w14:paraId="31301192" w14:textId="77777777" w:rsidR="00A32A92" w:rsidRPr="00760DC7" w:rsidRDefault="00A32A92" w:rsidP="00A32A92">
      <w:pPr>
        <w:jc w:val="both"/>
      </w:pPr>
      <w:r w:rsidRPr="00760DC7">
        <w:rPr>
          <w:b/>
          <w:bCs/>
        </w:rPr>
        <w:t>Toiminnanharjoittaja</w:t>
      </w:r>
      <w:r w:rsidRPr="00760DC7">
        <w:tab/>
        <w:t xml:space="preserve">Pohjois-Pohjanmaan </w:t>
      </w:r>
      <w:r>
        <w:t>hyvinvointialue</w:t>
      </w:r>
      <w:r w:rsidRPr="00760DC7">
        <w:tab/>
      </w:r>
      <w:r w:rsidRPr="00760DC7">
        <w:tab/>
        <w:t>Lupa nro</w:t>
      </w:r>
    </w:p>
    <w:p w14:paraId="1C1ED898" w14:textId="77777777" w:rsidR="00A32A92" w:rsidRPr="00760DC7" w:rsidRDefault="00A32A92" w:rsidP="00A32A92">
      <w:pPr>
        <w:jc w:val="both"/>
      </w:pPr>
      <w:r w:rsidRPr="00760DC7">
        <w:tab/>
      </w:r>
      <w:r w:rsidRPr="00760DC7">
        <w:tab/>
      </w:r>
      <w:r>
        <w:t>(Pohde)</w:t>
      </w:r>
    </w:p>
    <w:p w14:paraId="66680ECA" w14:textId="77777777" w:rsidR="00A32A92" w:rsidRPr="00760DC7" w:rsidRDefault="00A32A92" w:rsidP="00A32A92">
      <w:pPr>
        <w:jc w:val="both"/>
      </w:pPr>
    </w:p>
    <w:p w14:paraId="410C57D7" w14:textId="77777777" w:rsidR="00A32A92" w:rsidRPr="00760DC7" w:rsidRDefault="00A32A92" w:rsidP="00A32A92">
      <w:pPr>
        <w:ind w:left="1304" w:firstLine="1304"/>
        <w:jc w:val="both"/>
      </w:pPr>
      <w:r w:rsidRPr="00760DC7">
        <w:t xml:space="preserve">Pohjois-Pohjanmaan </w:t>
      </w:r>
      <w:r>
        <w:t>hyvinvointialue</w:t>
      </w:r>
      <w:r w:rsidRPr="00760DC7">
        <w:tab/>
      </w:r>
      <w:r w:rsidRPr="00760DC7">
        <w:tab/>
        <w:t xml:space="preserve">5075 </w:t>
      </w:r>
    </w:p>
    <w:p w14:paraId="1192A1A2" w14:textId="77777777" w:rsidR="00A32A92" w:rsidRPr="00760DC7" w:rsidRDefault="00A32A92" w:rsidP="00A32A92">
      <w:pPr>
        <w:jc w:val="both"/>
      </w:pPr>
      <w:r w:rsidRPr="00760DC7">
        <w:tab/>
      </w:r>
      <w:r w:rsidRPr="00760DC7">
        <w:tab/>
        <w:t xml:space="preserve">Diagnostiikan </w:t>
      </w:r>
      <w:r>
        <w:t>osaamiskeskus</w:t>
      </w:r>
    </w:p>
    <w:p w14:paraId="414F851D" w14:textId="77777777" w:rsidR="00A32A92" w:rsidRPr="00760DC7" w:rsidRDefault="00A32A92" w:rsidP="00A32A92">
      <w:pPr>
        <w:jc w:val="both"/>
      </w:pPr>
      <w:r w:rsidRPr="00760DC7">
        <w:tab/>
      </w:r>
      <w:r w:rsidRPr="00760DC7">
        <w:tab/>
        <w:t>Kuvantaminen, röntgentoiminta</w:t>
      </w:r>
      <w:r w:rsidRPr="00760DC7">
        <w:tab/>
      </w:r>
      <w:r w:rsidRPr="00760DC7">
        <w:tab/>
      </w:r>
    </w:p>
    <w:p w14:paraId="22B28B65" w14:textId="77777777" w:rsidR="00A32A92" w:rsidRPr="00760DC7" w:rsidRDefault="00A32A92" w:rsidP="00A32A92">
      <w:pPr>
        <w:jc w:val="both"/>
      </w:pPr>
      <w:r w:rsidRPr="00760DC7">
        <w:tab/>
      </w:r>
      <w:r w:rsidRPr="00760DC7">
        <w:tab/>
      </w:r>
    </w:p>
    <w:p w14:paraId="369A5DB6" w14:textId="77777777" w:rsidR="00A32A92" w:rsidRPr="00760DC7" w:rsidRDefault="00A32A92" w:rsidP="00A32A92">
      <w:pPr>
        <w:jc w:val="both"/>
      </w:pPr>
      <w:r>
        <w:tab/>
      </w:r>
      <w:r>
        <w:tab/>
        <w:t>PL 1</w:t>
      </w:r>
      <w:r w:rsidRPr="00760DC7">
        <w:t>0</w:t>
      </w:r>
    </w:p>
    <w:p w14:paraId="5B09D58C" w14:textId="77777777" w:rsidR="00A32A92" w:rsidRPr="00760DC7" w:rsidRDefault="00A32A92" w:rsidP="00A32A92">
      <w:pPr>
        <w:jc w:val="both"/>
      </w:pPr>
      <w:r w:rsidRPr="00760DC7">
        <w:tab/>
      </w:r>
      <w:r w:rsidRPr="00760DC7">
        <w:tab/>
        <w:t>90029 OYS</w:t>
      </w:r>
    </w:p>
    <w:p w14:paraId="2352522C" w14:textId="77777777" w:rsidR="00A32A92" w:rsidRPr="00760DC7" w:rsidRDefault="00A32A92" w:rsidP="00A32A92">
      <w:pPr>
        <w:jc w:val="both"/>
      </w:pPr>
    </w:p>
    <w:p w14:paraId="2827348F" w14:textId="56084E28" w:rsidR="00A32A92" w:rsidRPr="00760DC7" w:rsidRDefault="00A32A92" w:rsidP="00A32A92">
      <w:pPr>
        <w:jc w:val="both"/>
      </w:pPr>
      <w:r w:rsidRPr="00760DC7">
        <w:rPr>
          <w:b/>
          <w:bCs/>
        </w:rPr>
        <w:t>Y-tunnus</w:t>
      </w:r>
      <w:r w:rsidRPr="00760DC7">
        <w:rPr>
          <w:b/>
        </w:rPr>
        <w:tab/>
      </w:r>
      <w:r w:rsidRPr="00760DC7">
        <w:rPr>
          <w:b/>
        </w:rPr>
        <w:tab/>
      </w:r>
      <w:r w:rsidRPr="00651668">
        <w:rPr>
          <w:b/>
        </w:rPr>
        <w:t>3221326–2</w:t>
      </w:r>
    </w:p>
    <w:p w14:paraId="03180BDF" w14:textId="77777777" w:rsidR="00A32A92" w:rsidRPr="00760DC7" w:rsidRDefault="00A32A92" w:rsidP="00A32A92">
      <w:pPr>
        <w:jc w:val="both"/>
      </w:pPr>
    </w:p>
    <w:p w14:paraId="4C8C2D26" w14:textId="77777777" w:rsidR="00A32A92" w:rsidRDefault="00A32A92" w:rsidP="00A32A92">
      <w:pPr>
        <w:jc w:val="both"/>
      </w:pPr>
      <w:r w:rsidRPr="00760DC7">
        <w:rPr>
          <w:b/>
          <w:bCs/>
        </w:rPr>
        <w:t>Säteilyn käyttöpaikat</w:t>
      </w:r>
      <w:r w:rsidRPr="00760DC7">
        <w:tab/>
      </w:r>
    </w:p>
    <w:tbl>
      <w:tblPr>
        <w:tblW w:w="6805" w:type="dxa"/>
        <w:tblInd w:w="2552" w:type="dxa"/>
        <w:tblCellMar>
          <w:left w:w="70" w:type="dxa"/>
          <w:right w:w="70" w:type="dxa"/>
        </w:tblCellMar>
        <w:tblLook w:val="04A0" w:firstRow="1" w:lastRow="0" w:firstColumn="1" w:lastColumn="0" w:noHBand="0" w:noVBand="1"/>
      </w:tblPr>
      <w:tblGrid>
        <w:gridCol w:w="2460"/>
        <w:gridCol w:w="2038"/>
        <w:gridCol w:w="2307"/>
      </w:tblGrid>
      <w:tr w:rsidR="00A32A92" w:rsidRPr="0036473E" w14:paraId="4C767D4D" w14:textId="77777777" w:rsidTr="008B4EAF">
        <w:trPr>
          <w:trHeight w:val="355"/>
        </w:trPr>
        <w:tc>
          <w:tcPr>
            <w:tcW w:w="2460" w:type="dxa"/>
            <w:tcBorders>
              <w:top w:val="nil"/>
              <w:left w:val="nil"/>
              <w:bottom w:val="single" w:sz="8" w:space="0" w:color="9BC2E6"/>
              <w:right w:val="nil"/>
            </w:tcBorders>
            <w:shd w:val="clear" w:color="auto" w:fill="auto"/>
            <w:noWrap/>
            <w:vAlign w:val="bottom"/>
            <w:hideMark/>
          </w:tcPr>
          <w:p w14:paraId="38ACDB0E" w14:textId="77777777" w:rsidR="00A32A92" w:rsidRPr="0036473E" w:rsidRDefault="00A32A92" w:rsidP="008B4EAF">
            <w:pPr>
              <w:rPr>
                <w:rFonts w:cs="Calibri"/>
                <w:b/>
                <w:bCs/>
                <w:color w:val="44546A"/>
                <w:sz w:val="18"/>
                <w:szCs w:val="18"/>
              </w:rPr>
            </w:pPr>
          </w:p>
        </w:tc>
        <w:tc>
          <w:tcPr>
            <w:tcW w:w="2038" w:type="dxa"/>
            <w:tcBorders>
              <w:top w:val="nil"/>
              <w:left w:val="nil"/>
              <w:bottom w:val="single" w:sz="8" w:space="0" w:color="9BC2E6"/>
              <w:right w:val="nil"/>
            </w:tcBorders>
            <w:shd w:val="clear" w:color="auto" w:fill="auto"/>
            <w:noWrap/>
            <w:vAlign w:val="bottom"/>
            <w:hideMark/>
          </w:tcPr>
          <w:p w14:paraId="5A5C872B" w14:textId="77777777" w:rsidR="00A32A92" w:rsidRPr="0036473E" w:rsidRDefault="00A32A92" w:rsidP="008B4EAF">
            <w:pPr>
              <w:rPr>
                <w:rFonts w:cs="Calibri"/>
                <w:b/>
                <w:bCs/>
                <w:color w:val="44546A"/>
                <w:sz w:val="18"/>
                <w:szCs w:val="18"/>
              </w:rPr>
            </w:pPr>
            <w:r w:rsidRPr="0036473E">
              <w:rPr>
                <w:rFonts w:cs="Calibri"/>
                <w:b/>
                <w:bCs/>
                <w:color w:val="44546A"/>
                <w:sz w:val="18"/>
                <w:szCs w:val="18"/>
              </w:rPr>
              <w:t>Käyntiosoite</w:t>
            </w:r>
          </w:p>
        </w:tc>
        <w:tc>
          <w:tcPr>
            <w:tcW w:w="2307" w:type="dxa"/>
            <w:tcBorders>
              <w:top w:val="nil"/>
              <w:left w:val="nil"/>
              <w:bottom w:val="single" w:sz="8" w:space="0" w:color="9BC2E6"/>
              <w:right w:val="nil"/>
            </w:tcBorders>
            <w:shd w:val="clear" w:color="auto" w:fill="auto"/>
            <w:noWrap/>
            <w:vAlign w:val="bottom"/>
            <w:hideMark/>
          </w:tcPr>
          <w:p w14:paraId="2ABA69B8" w14:textId="77777777" w:rsidR="00A32A92" w:rsidRPr="0036473E" w:rsidRDefault="00A32A92" w:rsidP="008B4EAF">
            <w:pPr>
              <w:rPr>
                <w:rFonts w:cs="Calibri"/>
                <w:b/>
                <w:bCs/>
                <w:color w:val="44546A"/>
                <w:sz w:val="18"/>
                <w:szCs w:val="18"/>
              </w:rPr>
            </w:pPr>
            <w:r w:rsidRPr="0036473E">
              <w:rPr>
                <w:rFonts w:cs="Calibri"/>
                <w:b/>
                <w:bCs/>
                <w:color w:val="44546A"/>
                <w:sz w:val="18"/>
                <w:szCs w:val="18"/>
              </w:rPr>
              <w:t>Postitoimipaikka</w:t>
            </w:r>
          </w:p>
        </w:tc>
      </w:tr>
      <w:tr w:rsidR="00A32A92" w:rsidRPr="00913AA5" w14:paraId="2C3CB313" w14:textId="77777777" w:rsidTr="008B4EAF">
        <w:trPr>
          <w:trHeight w:val="355"/>
        </w:trPr>
        <w:tc>
          <w:tcPr>
            <w:tcW w:w="2460" w:type="dxa"/>
            <w:tcBorders>
              <w:top w:val="nil"/>
              <w:left w:val="nil"/>
              <w:bottom w:val="single" w:sz="8" w:space="0" w:color="9BC2E6"/>
              <w:right w:val="nil"/>
            </w:tcBorders>
            <w:shd w:val="clear" w:color="auto" w:fill="auto"/>
            <w:noWrap/>
            <w:vAlign w:val="bottom"/>
            <w:hideMark/>
          </w:tcPr>
          <w:p w14:paraId="78B1DB6B" w14:textId="77777777" w:rsidR="00A32A92" w:rsidRPr="00913AA5" w:rsidRDefault="00A32A92" w:rsidP="008B4EAF">
            <w:pPr>
              <w:rPr>
                <w:rFonts w:cs="Calibri"/>
                <w:b/>
                <w:bCs/>
                <w:color w:val="44546A"/>
                <w:sz w:val="18"/>
                <w:szCs w:val="18"/>
              </w:rPr>
            </w:pPr>
            <w:r w:rsidRPr="00913AA5">
              <w:rPr>
                <w:rFonts w:cs="Calibri"/>
                <w:b/>
                <w:bCs/>
                <w:color w:val="44546A"/>
                <w:sz w:val="18"/>
                <w:szCs w:val="18"/>
              </w:rPr>
              <w:t>Dentopolis 1. krs</w:t>
            </w:r>
          </w:p>
        </w:tc>
        <w:tc>
          <w:tcPr>
            <w:tcW w:w="2038" w:type="dxa"/>
            <w:tcBorders>
              <w:top w:val="nil"/>
              <w:left w:val="nil"/>
              <w:bottom w:val="single" w:sz="8" w:space="0" w:color="9BC2E6"/>
              <w:right w:val="nil"/>
            </w:tcBorders>
            <w:shd w:val="clear" w:color="auto" w:fill="auto"/>
            <w:noWrap/>
            <w:vAlign w:val="bottom"/>
            <w:hideMark/>
          </w:tcPr>
          <w:p w14:paraId="5A3BA004" w14:textId="77777777" w:rsidR="00A32A92" w:rsidRPr="00913AA5" w:rsidRDefault="00A32A92" w:rsidP="008B4EAF">
            <w:pPr>
              <w:rPr>
                <w:rFonts w:cs="Calibri"/>
                <w:b/>
                <w:bCs/>
                <w:color w:val="44546A"/>
                <w:sz w:val="18"/>
                <w:szCs w:val="18"/>
              </w:rPr>
            </w:pPr>
            <w:r w:rsidRPr="00913AA5">
              <w:rPr>
                <w:rFonts w:cs="Calibri"/>
                <w:b/>
                <w:bCs/>
                <w:color w:val="44546A"/>
                <w:sz w:val="18"/>
                <w:szCs w:val="18"/>
              </w:rPr>
              <w:t xml:space="preserve">Aapistie 3 </w:t>
            </w:r>
          </w:p>
        </w:tc>
        <w:tc>
          <w:tcPr>
            <w:tcW w:w="2307" w:type="dxa"/>
            <w:tcBorders>
              <w:top w:val="nil"/>
              <w:left w:val="nil"/>
              <w:bottom w:val="single" w:sz="8" w:space="0" w:color="9BC2E6"/>
              <w:right w:val="nil"/>
            </w:tcBorders>
            <w:shd w:val="clear" w:color="auto" w:fill="auto"/>
            <w:noWrap/>
            <w:vAlign w:val="bottom"/>
            <w:hideMark/>
          </w:tcPr>
          <w:p w14:paraId="3C7694F1" w14:textId="77777777" w:rsidR="00A32A92" w:rsidRPr="00913AA5" w:rsidRDefault="00A32A92" w:rsidP="008B4EAF">
            <w:pPr>
              <w:rPr>
                <w:rFonts w:cs="Calibri"/>
                <w:b/>
                <w:bCs/>
                <w:color w:val="44546A"/>
                <w:sz w:val="18"/>
                <w:szCs w:val="18"/>
              </w:rPr>
            </w:pPr>
            <w:r w:rsidRPr="00913AA5">
              <w:rPr>
                <w:rFonts w:cs="Calibri"/>
                <w:b/>
                <w:bCs/>
                <w:color w:val="44546A"/>
                <w:sz w:val="18"/>
                <w:szCs w:val="18"/>
              </w:rPr>
              <w:t>90220 Oulu</w:t>
            </w:r>
          </w:p>
        </w:tc>
      </w:tr>
      <w:tr w:rsidR="00A32A92" w:rsidRPr="0036473E" w14:paraId="4C112561"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2FAEAB5B" w14:textId="77777777" w:rsidR="00A32A92" w:rsidRPr="0036473E" w:rsidRDefault="00A32A92" w:rsidP="008B4EAF">
            <w:pPr>
              <w:rPr>
                <w:rFonts w:cs="Calibri"/>
                <w:b/>
                <w:bCs/>
                <w:color w:val="44546A"/>
                <w:sz w:val="18"/>
                <w:szCs w:val="18"/>
              </w:rPr>
            </w:pPr>
            <w:r w:rsidRPr="0036473E">
              <w:rPr>
                <w:rFonts w:cs="Calibri"/>
                <w:b/>
                <w:bCs/>
                <w:color w:val="44546A"/>
                <w:sz w:val="18"/>
                <w:szCs w:val="18"/>
              </w:rPr>
              <w:t>Haapajärvi</w:t>
            </w:r>
          </w:p>
        </w:tc>
        <w:tc>
          <w:tcPr>
            <w:tcW w:w="2038" w:type="dxa"/>
            <w:tcBorders>
              <w:top w:val="nil"/>
              <w:left w:val="nil"/>
              <w:bottom w:val="single" w:sz="8" w:space="0" w:color="9BC2E6"/>
              <w:right w:val="nil"/>
            </w:tcBorders>
            <w:shd w:val="clear" w:color="auto" w:fill="auto"/>
            <w:noWrap/>
            <w:vAlign w:val="bottom"/>
            <w:hideMark/>
          </w:tcPr>
          <w:p w14:paraId="5AF09886" w14:textId="77777777" w:rsidR="00A32A92" w:rsidRPr="0036473E" w:rsidRDefault="00A32A92" w:rsidP="008B4EAF">
            <w:pPr>
              <w:rPr>
                <w:rFonts w:cs="Calibri"/>
                <w:b/>
                <w:bCs/>
                <w:color w:val="44546A"/>
                <w:sz w:val="18"/>
                <w:szCs w:val="18"/>
              </w:rPr>
            </w:pPr>
            <w:r w:rsidRPr="0036473E">
              <w:rPr>
                <w:rFonts w:cs="Calibri"/>
                <w:b/>
                <w:bCs/>
                <w:color w:val="44546A"/>
                <w:sz w:val="18"/>
                <w:szCs w:val="18"/>
              </w:rPr>
              <w:t>Männistönkatu 6</w:t>
            </w:r>
          </w:p>
        </w:tc>
        <w:tc>
          <w:tcPr>
            <w:tcW w:w="2307" w:type="dxa"/>
            <w:tcBorders>
              <w:top w:val="nil"/>
              <w:left w:val="nil"/>
              <w:bottom w:val="single" w:sz="8" w:space="0" w:color="9BC2E6"/>
              <w:right w:val="nil"/>
            </w:tcBorders>
            <w:shd w:val="clear" w:color="auto" w:fill="auto"/>
            <w:noWrap/>
            <w:vAlign w:val="bottom"/>
            <w:hideMark/>
          </w:tcPr>
          <w:p w14:paraId="5B183E0B" w14:textId="77777777" w:rsidR="00A32A92" w:rsidRPr="0036473E" w:rsidRDefault="00A32A92" w:rsidP="008B4EAF">
            <w:pPr>
              <w:rPr>
                <w:rFonts w:cs="Calibri"/>
                <w:b/>
                <w:bCs/>
                <w:color w:val="44546A"/>
                <w:sz w:val="18"/>
                <w:szCs w:val="18"/>
              </w:rPr>
            </w:pPr>
            <w:r w:rsidRPr="0036473E">
              <w:rPr>
                <w:rFonts w:cs="Calibri"/>
                <w:b/>
                <w:bCs/>
                <w:color w:val="44546A"/>
                <w:sz w:val="18"/>
                <w:szCs w:val="18"/>
              </w:rPr>
              <w:t>85800 Haapajärvi</w:t>
            </w:r>
          </w:p>
        </w:tc>
      </w:tr>
      <w:tr w:rsidR="00A32A92" w:rsidRPr="0036473E" w14:paraId="185C1726"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2707A2BD" w14:textId="77777777" w:rsidR="00A32A92" w:rsidRPr="0036473E" w:rsidRDefault="00A32A92" w:rsidP="008B4EAF">
            <w:pPr>
              <w:rPr>
                <w:rFonts w:cs="Calibri"/>
                <w:b/>
                <w:bCs/>
                <w:color w:val="44546A"/>
                <w:sz w:val="18"/>
                <w:szCs w:val="18"/>
              </w:rPr>
            </w:pPr>
            <w:r w:rsidRPr="0036473E">
              <w:rPr>
                <w:rFonts w:cs="Calibri"/>
                <w:b/>
                <w:bCs/>
                <w:color w:val="44546A"/>
                <w:sz w:val="18"/>
                <w:szCs w:val="18"/>
              </w:rPr>
              <w:t xml:space="preserve">Kalajoki </w:t>
            </w:r>
          </w:p>
        </w:tc>
        <w:tc>
          <w:tcPr>
            <w:tcW w:w="2038" w:type="dxa"/>
            <w:tcBorders>
              <w:top w:val="nil"/>
              <w:left w:val="nil"/>
              <w:bottom w:val="single" w:sz="8" w:space="0" w:color="9BC2E6"/>
              <w:right w:val="nil"/>
            </w:tcBorders>
            <w:shd w:val="clear" w:color="auto" w:fill="auto"/>
            <w:noWrap/>
            <w:vAlign w:val="bottom"/>
            <w:hideMark/>
          </w:tcPr>
          <w:p w14:paraId="6AFAF377" w14:textId="77777777" w:rsidR="00A32A92" w:rsidRPr="0036473E" w:rsidRDefault="00A32A92" w:rsidP="008B4EAF">
            <w:pPr>
              <w:rPr>
                <w:rFonts w:cs="Calibri"/>
                <w:b/>
                <w:bCs/>
                <w:color w:val="44546A"/>
                <w:sz w:val="18"/>
                <w:szCs w:val="18"/>
              </w:rPr>
            </w:pPr>
            <w:r w:rsidRPr="0036473E">
              <w:rPr>
                <w:rFonts w:cs="Calibri"/>
                <w:b/>
                <w:bCs/>
                <w:color w:val="44546A"/>
                <w:sz w:val="18"/>
                <w:szCs w:val="18"/>
              </w:rPr>
              <w:t>Tohtorintie 4</w:t>
            </w:r>
          </w:p>
        </w:tc>
        <w:tc>
          <w:tcPr>
            <w:tcW w:w="2307" w:type="dxa"/>
            <w:tcBorders>
              <w:top w:val="nil"/>
              <w:left w:val="nil"/>
              <w:bottom w:val="single" w:sz="8" w:space="0" w:color="9BC2E6"/>
              <w:right w:val="nil"/>
            </w:tcBorders>
            <w:shd w:val="clear" w:color="auto" w:fill="auto"/>
            <w:noWrap/>
            <w:vAlign w:val="bottom"/>
            <w:hideMark/>
          </w:tcPr>
          <w:p w14:paraId="385B0F05" w14:textId="77777777" w:rsidR="00A32A92" w:rsidRPr="0036473E" w:rsidRDefault="00A32A92" w:rsidP="008B4EAF">
            <w:pPr>
              <w:rPr>
                <w:rFonts w:cs="Calibri"/>
                <w:b/>
                <w:bCs/>
                <w:color w:val="44546A"/>
                <w:sz w:val="18"/>
                <w:szCs w:val="18"/>
              </w:rPr>
            </w:pPr>
            <w:r w:rsidRPr="0036473E">
              <w:rPr>
                <w:rFonts w:cs="Calibri"/>
                <w:b/>
                <w:bCs/>
                <w:color w:val="44546A"/>
                <w:sz w:val="18"/>
                <w:szCs w:val="18"/>
              </w:rPr>
              <w:t>85100 Kalajoki</w:t>
            </w:r>
          </w:p>
        </w:tc>
      </w:tr>
      <w:tr w:rsidR="00A32A92" w:rsidRPr="0036473E" w14:paraId="55880383"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1FF0C89A" w14:textId="77777777" w:rsidR="00A32A92" w:rsidRPr="0036473E" w:rsidRDefault="00A32A92" w:rsidP="008B4EAF">
            <w:pPr>
              <w:rPr>
                <w:rFonts w:cs="Calibri"/>
                <w:b/>
                <w:bCs/>
                <w:color w:val="44546A"/>
                <w:sz w:val="18"/>
                <w:szCs w:val="18"/>
              </w:rPr>
            </w:pPr>
            <w:r w:rsidRPr="0036473E">
              <w:rPr>
                <w:rFonts w:cs="Calibri"/>
                <w:b/>
                <w:bCs/>
                <w:color w:val="44546A"/>
                <w:sz w:val="18"/>
                <w:szCs w:val="18"/>
              </w:rPr>
              <w:t>Kempele</w:t>
            </w:r>
          </w:p>
        </w:tc>
        <w:tc>
          <w:tcPr>
            <w:tcW w:w="2038" w:type="dxa"/>
            <w:tcBorders>
              <w:top w:val="nil"/>
              <w:left w:val="nil"/>
              <w:bottom w:val="single" w:sz="8" w:space="0" w:color="9BC2E6"/>
              <w:right w:val="nil"/>
            </w:tcBorders>
            <w:shd w:val="clear" w:color="auto" w:fill="auto"/>
            <w:noWrap/>
            <w:vAlign w:val="bottom"/>
            <w:hideMark/>
          </w:tcPr>
          <w:p w14:paraId="734C6D78" w14:textId="77777777" w:rsidR="00A32A92" w:rsidRPr="0036473E" w:rsidRDefault="00A32A92" w:rsidP="008B4EAF">
            <w:pPr>
              <w:rPr>
                <w:rFonts w:cs="Calibri"/>
                <w:b/>
                <w:bCs/>
                <w:color w:val="44546A"/>
                <w:sz w:val="18"/>
                <w:szCs w:val="18"/>
              </w:rPr>
            </w:pPr>
            <w:r w:rsidRPr="0036473E">
              <w:rPr>
                <w:rFonts w:cs="Calibri"/>
                <w:b/>
                <w:bCs/>
                <w:color w:val="44546A"/>
                <w:sz w:val="18"/>
                <w:szCs w:val="18"/>
              </w:rPr>
              <w:t>Kirkkotie 21</w:t>
            </w:r>
          </w:p>
        </w:tc>
        <w:tc>
          <w:tcPr>
            <w:tcW w:w="2307" w:type="dxa"/>
            <w:tcBorders>
              <w:top w:val="nil"/>
              <w:left w:val="nil"/>
              <w:bottom w:val="single" w:sz="8" w:space="0" w:color="9BC2E6"/>
              <w:right w:val="nil"/>
            </w:tcBorders>
            <w:shd w:val="clear" w:color="auto" w:fill="auto"/>
            <w:noWrap/>
            <w:vAlign w:val="bottom"/>
            <w:hideMark/>
          </w:tcPr>
          <w:p w14:paraId="56109745" w14:textId="77777777" w:rsidR="00A32A92" w:rsidRPr="0036473E" w:rsidRDefault="00A32A92" w:rsidP="008B4EAF">
            <w:pPr>
              <w:rPr>
                <w:rFonts w:cs="Calibri"/>
                <w:b/>
                <w:bCs/>
                <w:color w:val="44546A"/>
                <w:sz w:val="18"/>
                <w:szCs w:val="18"/>
              </w:rPr>
            </w:pPr>
            <w:r w:rsidRPr="0036473E">
              <w:rPr>
                <w:rFonts w:cs="Calibri"/>
                <w:b/>
                <w:bCs/>
                <w:color w:val="44546A"/>
                <w:sz w:val="18"/>
                <w:szCs w:val="18"/>
              </w:rPr>
              <w:t>90440 Kempele</w:t>
            </w:r>
          </w:p>
        </w:tc>
      </w:tr>
      <w:tr w:rsidR="00A32A92" w:rsidRPr="0036473E" w14:paraId="7BD225C6"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5DFBA370" w14:textId="77777777" w:rsidR="00A32A92" w:rsidRPr="0036473E" w:rsidRDefault="00A32A92" w:rsidP="008B4EAF">
            <w:pPr>
              <w:rPr>
                <w:rFonts w:cs="Calibri"/>
                <w:b/>
                <w:bCs/>
                <w:color w:val="44546A"/>
                <w:sz w:val="18"/>
                <w:szCs w:val="18"/>
              </w:rPr>
            </w:pPr>
            <w:r w:rsidRPr="0036473E">
              <w:rPr>
                <w:rFonts w:cs="Calibri"/>
                <w:b/>
                <w:bCs/>
                <w:color w:val="44546A"/>
                <w:sz w:val="18"/>
                <w:szCs w:val="18"/>
              </w:rPr>
              <w:t>Kuusamo</w:t>
            </w:r>
          </w:p>
        </w:tc>
        <w:tc>
          <w:tcPr>
            <w:tcW w:w="2038" w:type="dxa"/>
            <w:tcBorders>
              <w:top w:val="nil"/>
              <w:left w:val="nil"/>
              <w:bottom w:val="single" w:sz="8" w:space="0" w:color="9BC2E6"/>
              <w:right w:val="nil"/>
            </w:tcBorders>
            <w:shd w:val="clear" w:color="auto" w:fill="auto"/>
            <w:noWrap/>
            <w:vAlign w:val="bottom"/>
            <w:hideMark/>
          </w:tcPr>
          <w:p w14:paraId="19B9DA47" w14:textId="77777777" w:rsidR="00A32A92" w:rsidRPr="0036473E" w:rsidRDefault="00A32A92" w:rsidP="008B4EAF">
            <w:pPr>
              <w:rPr>
                <w:rFonts w:cs="Calibri"/>
                <w:b/>
                <w:bCs/>
                <w:color w:val="44546A"/>
                <w:sz w:val="18"/>
                <w:szCs w:val="18"/>
              </w:rPr>
            </w:pPr>
            <w:r w:rsidRPr="0036473E">
              <w:rPr>
                <w:rFonts w:cs="Calibri"/>
                <w:b/>
                <w:bCs/>
                <w:color w:val="44546A"/>
                <w:sz w:val="18"/>
                <w:szCs w:val="18"/>
              </w:rPr>
              <w:t>Raistakantie 1</w:t>
            </w:r>
          </w:p>
        </w:tc>
        <w:tc>
          <w:tcPr>
            <w:tcW w:w="2307" w:type="dxa"/>
            <w:tcBorders>
              <w:top w:val="nil"/>
              <w:left w:val="nil"/>
              <w:bottom w:val="single" w:sz="8" w:space="0" w:color="9BC2E6"/>
              <w:right w:val="nil"/>
            </w:tcBorders>
            <w:shd w:val="clear" w:color="auto" w:fill="auto"/>
            <w:noWrap/>
            <w:vAlign w:val="bottom"/>
            <w:hideMark/>
          </w:tcPr>
          <w:p w14:paraId="09F7A06D" w14:textId="77777777" w:rsidR="00A32A92" w:rsidRPr="0036473E" w:rsidRDefault="00A32A92" w:rsidP="008B4EAF">
            <w:pPr>
              <w:rPr>
                <w:rFonts w:cs="Calibri"/>
                <w:b/>
                <w:bCs/>
                <w:color w:val="44546A"/>
                <w:sz w:val="18"/>
                <w:szCs w:val="18"/>
              </w:rPr>
            </w:pPr>
            <w:r w:rsidRPr="0036473E">
              <w:rPr>
                <w:rFonts w:cs="Calibri"/>
                <w:b/>
                <w:bCs/>
                <w:color w:val="44546A"/>
                <w:sz w:val="18"/>
                <w:szCs w:val="18"/>
              </w:rPr>
              <w:t>93600 Kuusamo</w:t>
            </w:r>
          </w:p>
        </w:tc>
      </w:tr>
      <w:tr w:rsidR="00A32A92" w:rsidRPr="0036473E" w14:paraId="72364BC1"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48001544" w14:textId="77777777" w:rsidR="00A32A92" w:rsidRPr="0036473E" w:rsidRDefault="00A32A92" w:rsidP="008B4EAF">
            <w:pPr>
              <w:rPr>
                <w:rFonts w:cs="Calibri"/>
                <w:b/>
                <w:bCs/>
                <w:color w:val="44546A"/>
                <w:sz w:val="18"/>
                <w:szCs w:val="18"/>
              </w:rPr>
            </w:pPr>
            <w:r w:rsidRPr="0036473E">
              <w:rPr>
                <w:rFonts w:cs="Calibri"/>
                <w:b/>
                <w:bCs/>
                <w:color w:val="44546A"/>
                <w:sz w:val="18"/>
                <w:szCs w:val="18"/>
              </w:rPr>
              <w:t>Liminka</w:t>
            </w:r>
          </w:p>
        </w:tc>
        <w:tc>
          <w:tcPr>
            <w:tcW w:w="2038" w:type="dxa"/>
            <w:tcBorders>
              <w:top w:val="nil"/>
              <w:left w:val="nil"/>
              <w:bottom w:val="single" w:sz="8" w:space="0" w:color="9BC2E6"/>
              <w:right w:val="nil"/>
            </w:tcBorders>
            <w:shd w:val="clear" w:color="auto" w:fill="auto"/>
            <w:noWrap/>
            <w:vAlign w:val="bottom"/>
            <w:hideMark/>
          </w:tcPr>
          <w:p w14:paraId="463CA0C1" w14:textId="77777777" w:rsidR="00A32A92" w:rsidRPr="0036473E" w:rsidRDefault="00A32A92" w:rsidP="008B4EAF">
            <w:pPr>
              <w:rPr>
                <w:rFonts w:cs="Calibri"/>
                <w:b/>
                <w:bCs/>
                <w:color w:val="44546A"/>
                <w:sz w:val="18"/>
                <w:szCs w:val="18"/>
              </w:rPr>
            </w:pPr>
            <w:r w:rsidRPr="0036473E">
              <w:rPr>
                <w:rFonts w:cs="Calibri"/>
                <w:b/>
                <w:bCs/>
                <w:color w:val="44546A"/>
                <w:sz w:val="18"/>
                <w:szCs w:val="18"/>
              </w:rPr>
              <w:t>Liminganraitti 4</w:t>
            </w:r>
          </w:p>
        </w:tc>
        <w:tc>
          <w:tcPr>
            <w:tcW w:w="2307" w:type="dxa"/>
            <w:tcBorders>
              <w:top w:val="nil"/>
              <w:left w:val="nil"/>
              <w:bottom w:val="single" w:sz="8" w:space="0" w:color="9BC2E6"/>
              <w:right w:val="nil"/>
            </w:tcBorders>
            <w:shd w:val="clear" w:color="auto" w:fill="auto"/>
            <w:noWrap/>
            <w:vAlign w:val="bottom"/>
            <w:hideMark/>
          </w:tcPr>
          <w:p w14:paraId="1EEFD7CB" w14:textId="77777777" w:rsidR="00A32A92" w:rsidRPr="0036473E" w:rsidRDefault="00A32A92" w:rsidP="008B4EAF">
            <w:pPr>
              <w:rPr>
                <w:rFonts w:cs="Calibri"/>
                <w:b/>
                <w:bCs/>
                <w:color w:val="44546A"/>
                <w:sz w:val="18"/>
                <w:szCs w:val="18"/>
              </w:rPr>
            </w:pPr>
            <w:r w:rsidRPr="0036473E">
              <w:rPr>
                <w:rFonts w:cs="Calibri"/>
                <w:b/>
                <w:bCs/>
                <w:color w:val="44546A"/>
                <w:sz w:val="18"/>
                <w:szCs w:val="18"/>
              </w:rPr>
              <w:t>91900 Liminka</w:t>
            </w:r>
          </w:p>
        </w:tc>
      </w:tr>
      <w:tr w:rsidR="00A32A92" w:rsidRPr="0036473E" w14:paraId="7AABA293"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2805101E" w14:textId="77777777" w:rsidR="00A32A92" w:rsidRPr="0036473E" w:rsidRDefault="00A32A92" w:rsidP="008B4EAF">
            <w:pPr>
              <w:rPr>
                <w:rFonts w:cs="Calibri"/>
                <w:b/>
                <w:bCs/>
                <w:color w:val="44546A"/>
                <w:sz w:val="18"/>
                <w:szCs w:val="18"/>
              </w:rPr>
            </w:pPr>
            <w:r w:rsidRPr="0036473E">
              <w:rPr>
                <w:rFonts w:cs="Calibri"/>
                <w:b/>
                <w:bCs/>
                <w:color w:val="44546A"/>
                <w:sz w:val="18"/>
                <w:szCs w:val="18"/>
              </w:rPr>
              <w:t>Muhos</w:t>
            </w:r>
          </w:p>
        </w:tc>
        <w:tc>
          <w:tcPr>
            <w:tcW w:w="2038" w:type="dxa"/>
            <w:tcBorders>
              <w:top w:val="nil"/>
              <w:left w:val="nil"/>
              <w:bottom w:val="single" w:sz="8" w:space="0" w:color="9BC2E6"/>
              <w:right w:val="nil"/>
            </w:tcBorders>
            <w:shd w:val="clear" w:color="auto" w:fill="auto"/>
            <w:noWrap/>
            <w:vAlign w:val="bottom"/>
            <w:hideMark/>
          </w:tcPr>
          <w:p w14:paraId="6548230A" w14:textId="77777777" w:rsidR="00A32A92" w:rsidRPr="0036473E" w:rsidRDefault="00A32A92" w:rsidP="008B4EAF">
            <w:pPr>
              <w:rPr>
                <w:rFonts w:cs="Calibri"/>
                <w:b/>
                <w:bCs/>
                <w:color w:val="44546A"/>
                <w:sz w:val="18"/>
                <w:szCs w:val="18"/>
              </w:rPr>
            </w:pPr>
            <w:r w:rsidRPr="0036473E">
              <w:rPr>
                <w:rFonts w:cs="Calibri"/>
                <w:b/>
                <w:bCs/>
                <w:color w:val="44546A"/>
                <w:sz w:val="18"/>
                <w:szCs w:val="18"/>
              </w:rPr>
              <w:t>Puhakantie 16</w:t>
            </w:r>
          </w:p>
        </w:tc>
        <w:tc>
          <w:tcPr>
            <w:tcW w:w="2307" w:type="dxa"/>
            <w:tcBorders>
              <w:top w:val="nil"/>
              <w:left w:val="nil"/>
              <w:bottom w:val="single" w:sz="8" w:space="0" w:color="9BC2E6"/>
              <w:right w:val="nil"/>
            </w:tcBorders>
            <w:shd w:val="clear" w:color="auto" w:fill="auto"/>
            <w:noWrap/>
            <w:vAlign w:val="bottom"/>
            <w:hideMark/>
          </w:tcPr>
          <w:p w14:paraId="1B75362A" w14:textId="77777777" w:rsidR="00A32A92" w:rsidRPr="0036473E" w:rsidRDefault="00A32A92" w:rsidP="008B4EAF">
            <w:pPr>
              <w:rPr>
                <w:rFonts w:cs="Calibri"/>
                <w:b/>
                <w:bCs/>
                <w:color w:val="44546A"/>
                <w:sz w:val="18"/>
                <w:szCs w:val="18"/>
              </w:rPr>
            </w:pPr>
            <w:r w:rsidRPr="0036473E">
              <w:rPr>
                <w:rFonts w:cs="Calibri"/>
                <w:b/>
                <w:bCs/>
                <w:color w:val="44546A"/>
                <w:sz w:val="18"/>
                <w:szCs w:val="18"/>
              </w:rPr>
              <w:t>91500 Muhos</w:t>
            </w:r>
          </w:p>
        </w:tc>
      </w:tr>
      <w:tr w:rsidR="00A32A92" w:rsidRPr="0036473E" w14:paraId="6D0086F6"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2588DFE2" w14:textId="77777777" w:rsidR="00A32A92" w:rsidRPr="0036473E" w:rsidRDefault="00A32A92" w:rsidP="008B4EAF">
            <w:pPr>
              <w:rPr>
                <w:rFonts w:cs="Calibri"/>
                <w:b/>
                <w:bCs/>
                <w:color w:val="44546A"/>
                <w:sz w:val="18"/>
                <w:szCs w:val="18"/>
              </w:rPr>
            </w:pPr>
            <w:r w:rsidRPr="0036473E">
              <w:rPr>
                <w:rFonts w:cs="Calibri"/>
                <w:b/>
                <w:bCs/>
                <w:color w:val="44546A"/>
                <w:sz w:val="18"/>
                <w:szCs w:val="18"/>
              </w:rPr>
              <w:t>Nivala</w:t>
            </w:r>
          </w:p>
        </w:tc>
        <w:tc>
          <w:tcPr>
            <w:tcW w:w="2038" w:type="dxa"/>
            <w:tcBorders>
              <w:top w:val="nil"/>
              <w:left w:val="nil"/>
              <w:bottom w:val="single" w:sz="8" w:space="0" w:color="9BC2E6"/>
              <w:right w:val="nil"/>
            </w:tcBorders>
            <w:shd w:val="clear" w:color="auto" w:fill="auto"/>
            <w:noWrap/>
            <w:vAlign w:val="bottom"/>
            <w:hideMark/>
          </w:tcPr>
          <w:p w14:paraId="0F01ABF5" w14:textId="77777777" w:rsidR="00A32A92" w:rsidRPr="0036473E" w:rsidRDefault="00A32A92" w:rsidP="008B4EAF">
            <w:pPr>
              <w:rPr>
                <w:rFonts w:cs="Calibri"/>
                <w:b/>
                <w:bCs/>
                <w:color w:val="44546A"/>
                <w:sz w:val="18"/>
                <w:szCs w:val="18"/>
              </w:rPr>
            </w:pPr>
            <w:r w:rsidRPr="0036473E">
              <w:rPr>
                <w:rFonts w:cs="Calibri"/>
                <w:b/>
                <w:bCs/>
                <w:color w:val="44546A"/>
                <w:sz w:val="18"/>
                <w:szCs w:val="18"/>
              </w:rPr>
              <w:t>Pappilantie 1</w:t>
            </w:r>
          </w:p>
        </w:tc>
        <w:tc>
          <w:tcPr>
            <w:tcW w:w="2307" w:type="dxa"/>
            <w:tcBorders>
              <w:top w:val="nil"/>
              <w:left w:val="nil"/>
              <w:bottom w:val="single" w:sz="8" w:space="0" w:color="9BC2E6"/>
              <w:right w:val="nil"/>
            </w:tcBorders>
            <w:shd w:val="clear" w:color="auto" w:fill="auto"/>
            <w:noWrap/>
            <w:vAlign w:val="bottom"/>
            <w:hideMark/>
          </w:tcPr>
          <w:p w14:paraId="4E2E9B16" w14:textId="77777777" w:rsidR="00A32A92" w:rsidRPr="0036473E" w:rsidRDefault="00A32A92" w:rsidP="008B4EAF">
            <w:pPr>
              <w:rPr>
                <w:rFonts w:cs="Calibri"/>
                <w:b/>
                <w:bCs/>
                <w:color w:val="44546A"/>
                <w:sz w:val="18"/>
                <w:szCs w:val="18"/>
              </w:rPr>
            </w:pPr>
            <w:r w:rsidRPr="0036473E">
              <w:rPr>
                <w:rFonts w:cs="Calibri"/>
                <w:b/>
                <w:bCs/>
                <w:color w:val="44546A"/>
                <w:sz w:val="18"/>
                <w:szCs w:val="18"/>
              </w:rPr>
              <w:t>85500 Nivala</w:t>
            </w:r>
          </w:p>
        </w:tc>
      </w:tr>
      <w:tr w:rsidR="00A32A92" w:rsidRPr="0036473E" w14:paraId="0DE0FAE5"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484681C1" w14:textId="77777777" w:rsidR="00A32A92" w:rsidRPr="0036473E" w:rsidRDefault="00A32A92" w:rsidP="008B4EAF">
            <w:pPr>
              <w:rPr>
                <w:rFonts w:cs="Calibri"/>
                <w:b/>
                <w:bCs/>
                <w:color w:val="44546A"/>
                <w:sz w:val="18"/>
                <w:szCs w:val="18"/>
              </w:rPr>
            </w:pPr>
            <w:r>
              <w:rPr>
                <w:rFonts w:cs="Calibri"/>
                <w:b/>
                <w:bCs/>
                <w:color w:val="44546A"/>
                <w:sz w:val="18"/>
                <w:szCs w:val="18"/>
              </w:rPr>
              <w:t>Oys</w:t>
            </w:r>
          </w:p>
        </w:tc>
        <w:tc>
          <w:tcPr>
            <w:tcW w:w="2038" w:type="dxa"/>
            <w:tcBorders>
              <w:top w:val="nil"/>
              <w:left w:val="nil"/>
              <w:bottom w:val="single" w:sz="8" w:space="0" w:color="9BC2E6"/>
              <w:right w:val="nil"/>
            </w:tcBorders>
            <w:shd w:val="clear" w:color="auto" w:fill="auto"/>
            <w:noWrap/>
            <w:vAlign w:val="bottom"/>
            <w:hideMark/>
          </w:tcPr>
          <w:p w14:paraId="53ECA2A7" w14:textId="77777777" w:rsidR="00A32A92" w:rsidRPr="0036473E" w:rsidRDefault="00A32A92" w:rsidP="008B4EAF">
            <w:pPr>
              <w:rPr>
                <w:rFonts w:cs="Calibri"/>
                <w:b/>
                <w:bCs/>
                <w:color w:val="44546A"/>
                <w:sz w:val="18"/>
                <w:szCs w:val="18"/>
              </w:rPr>
            </w:pPr>
            <w:r w:rsidRPr="0036473E">
              <w:rPr>
                <w:rFonts w:cs="Calibri"/>
                <w:b/>
                <w:bCs/>
                <w:color w:val="44546A"/>
                <w:sz w:val="18"/>
                <w:szCs w:val="18"/>
              </w:rPr>
              <w:t>Kajaanintie 50</w:t>
            </w:r>
          </w:p>
        </w:tc>
        <w:tc>
          <w:tcPr>
            <w:tcW w:w="2307" w:type="dxa"/>
            <w:tcBorders>
              <w:top w:val="nil"/>
              <w:left w:val="nil"/>
              <w:bottom w:val="single" w:sz="8" w:space="0" w:color="9BC2E6"/>
              <w:right w:val="nil"/>
            </w:tcBorders>
            <w:shd w:val="clear" w:color="auto" w:fill="auto"/>
            <w:noWrap/>
            <w:vAlign w:val="bottom"/>
            <w:hideMark/>
          </w:tcPr>
          <w:p w14:paraId="3828BCD5" w14:textId="77777777" w:rsidR="00A32A92" w:rsidRPr="0036473E" w:rsidRDefault="00A32A92" w:rsidP="008B4EAF">
            <w:pPr>
              <w:rPr>
                <w:rFonts w:cs="Calibri"/>
                <w:b/>
                <w:bCs/>
                <w:color w:val="44546A"/>
                <w:sz w:val="18"/>
                <w:szCs w:val="18"/>
              </w:rPr>
            </w:pPr>
            <w:r w:rsidRPr="0036473E">
              <w:rPr>
                <w:rFonts w:cs="Calibri"/>
                <w:b/>
                <w:bCs/>
                <w:color w:val="44546A"/>
                <w:sz w:val="18"/>
                <w:szCs w:val="18"/>
              </w:rPr>
              <w:t>90029 OYS</w:t>
            </w:r>
          </w:p>
        </w:tc>
      </w:tr>
      <w:tr w:rsidR="00A32A92" w:rsidRPr="0036473E" w14:paraId="4EC6319B"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0B05C98F" w14:textId="77777777" w:rsidR="00A32A92" w:rsidRPr="0036473E" w:rsidRDefault="00A32A92" w:rsidP="008B4EAF">
            <w:pPr>
              <w:rPr>
                <w:rFonts w:cs="Calibri"/>
                <w:b/>
                <w:bCs/>
                <w:color w:val="44546A"/>
                <w:sz w:val="18"/>
                <w:szCs w:val="18"/>
              </w:rPr>
            </w:pPr>
            <w:r w:rsidRPr="0036473E">
              <w:rPr>
                <w:rFonts w:cs="Calibri"/>
                <w:b/>
                <w:bCs/>
                <w:color w:val="44546A"/>
                <w:sz w:val="18"/>
                <w:szCs w:val="18"/>
              </w:rPr>
              <w:t>Oulaskangas</w:t>
            </w:r>
          </w:p>
        </w:tc>
        <w:tc>
          <w:tcPr>
            <w:tcW w:w="2038" w:type="dxa"/>
            <w:tcBorders>
              <w:top w:val="nil"/>
              <w:left w:val="nil"/>
              <w:bottom w:val="single" w:sz="8" w:space="0" w:color="9BC2E6"/>
              <w:right w:val="nil"/>
            </w:tcBorders>
            <w:shd w:val="clear" w:color="auto" w:fill="auto"/>
            <w:noWrap/>
            <w:vAlign w:val="bottom"/>
            <w:hideMark/>
          </w:tcPr>
          <w:p w14:paraId="7812266C" w14:textId="77777777" w:rsidR="00A32A92" w:rsidRPr="0036473E" w:rsidRDefault="00A32A92" w:rsidP="008B4EAF">
            <w:pPr>
              <w:rPr>
                <w:rFonts w:cs="Calibri"/>
                <w:b/>
                <w:bCs/>
                <w:color w:val="44546A"/>
                <w:sz w:val="18"/>
                <w:szCs w:val="18"/>
              </w:rPr>
            </w:pPr>
            <w:r w:rsidRPr="0036473E">
              <w:rPr>
                <w:rFonts w:cs="Calibri"/>
                <w:b/>
                <w:bCs/>
                <w:color w:val="44546A"/>
                <w:sz w:val="18"/>
                <w:szCs w:val="18"/>
              </w:rPr>
              <w:t>Oulaistenkatu 5</w:t>
            </w:r>
          </w:p>
        </w:tc>
        <w:tc>
          <w:tcPr>
            <w:tcW w:w="2307" w:type="dxa"/>
            <w:tcBorders>
              <w:top w:val="nil"/>
              <w:left w:val="nil"/>
              <w:bottom w:val="single" w:sz="8" w:space="0" w:color="9BC2E6"/>
              <w:right w:val="nil"/>
            </w:tcBorders>
            <w:shd w:val="clear" w:color="auto" w:fill="auto"/>
            <w:noWrap/>
            <w:vAlign w:val="bottom"/>
            <w:hideMark/>
          </w:tcPr>
          <w:p w14:paraId="6B58F544" w14:textId="77777777" w:rsidR="00A32A92" w:rsidRPr="0036473E" w:rsidRDefault="00A32A92" w:rsidP="008B4EAF">
            <w:pPr>
              <w:rPr>
                <w:rFonts w:cs="Calibri"/>
                <w:b/>
                <w:bCs/>
                <w:color w:val="44546A"/>
                <w:sz w:val="18"/>
                <w:szCs w:val="18"/>
              </w:rPr>
            </w:pPr>
            <w:r w:rsidRPr="0036473E">
              <w:rPr>
                <w:rFonts w:cs="Calibri"/>
                <w:b/>
                <w:bCs/>
                <w:color w:val="44546A"/>
                <w:sz w:val="18"/>
                <w:szCs w:val="18"/>
              </w:rPr>
              <w:t>86300 Oulainen</w:t>
            </w:r>
          </w:p>
        </w:tc>
      </w:tr>
      <w:tr w:rsidR="00A32A92" w:rsidRPr="0036473E" w14:paraId="080057D6"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2469E38C" w14:textId="77777777" w:rsidR="00A32A92" w:rsidRPr="0036473E" w:rsidRDefault="00A32A92" w:rsidP="008B4EAF">
            <w:pPr>
              <w:rPr>
                <w:rFonts w:cs="Calibri"/>
                <w:b/>
                <w:bCs/>
                <w:color w:val="44546A"/>
                <w:sz w:val="18"/>
                <w:szCs w:val="18"/>
              </w:rPr>
            </w:pPr>
            <w:r w:rsidRPr="0036473E">
              <w:rPr>
                <w:rFonts w:cs="Calibri"/>
                <w:b/>
                <w:bCs/>
                <w:color w:val="44546A"/>
                <w:sz w:val="18"/>
                <w:szCs w:val="18"/>
              </w:rPr>
              <w:t>Pudasjärvi</w:t>
            </w:r>
          </w:p>
        </w:tc>
        <w:tc>
          <w:tcPr>
            <w:tcW w:w="2038" w:type="dxa"/>
            <w:tcBorders>
              <w:top w:val="nil"/>
              <w:left w:val="nil"/>
              <w:bottom w:val="single" w:sz="8" w:space="0" w:color="9BC2E6"/>
              <w:right w:val="nil"/>
            </w:tcBorders>
            <w:shd w:val="clear" w:color="auto" w:fill="auto"/>
            <w:noWrap/>
            <w:vAlign w:val="bottom"/>
            <w:hideMark/>
          </w:tcPr>
          <w:p w14:paraId="0D4B3C57" w14:textId="77777777" w:rsidR="00A32A92" w:rsidRPr="0036473E" w:rsidRDefault="00A32A92" w:rsidP="008B4EAF">
            <w:pPr>
              <w:rPr>
                <w:rFonts w:cs="Calibri"/>
                <w:b/>
                <w:bCs/>
                <w:color w:val="44546A"/>
                <w:sz w:val="18"/>
                <w:szCs w:val="18"/>
              </w:rPr>
            </w:pPr>
            <w:r w:rsidRPr="0036473E">
              <w:rPr>
                <w:rFonts w:cs="Calibri"/>
                <w:b/>
                <w:bCs/>
                <w:color w:val="44546A"/>
                <w:sz w:val="18"/>
                <w:szCs w:val="18"/>
              </w:rPr>
              <w:t>Varsitie 1</w:t>
            </w:r>
          </w:p>
        </w:tc>
        <w:tc>
          <w:tcPr>
            <w:tcW w:w="2307" w:type="dxa"/>
            <w:tcBorders>
              <w:top w:val="nil"/>
              <w:left w:val="nil"/>
              <w:bottom w:val="single" w:sz="8" w:space="0" w:color="9BC2E6"/>
              <w:right w:val="nil"/>
            </w:tcBorders>
            <w:shd w:val="clear" w:color="auto" w:fill="auto"/>
            <w:noWrap/>
            <w:vAlign w:val="bottom"/>
            <w:hideMark/>
          </w:tcPr>
          <w:p w14:paraId="1A569E37" w14:textId="77777777" w:rsidR="00A32A92" w:rsidRPr="0036473E" w:rsidRDefault="00A32A92" w:rsidP="008B4EAF">
            <w:pPr>
              <w:rPr>
                <w:rFonts w:cs="Calibri"/>
                <w:b/>
                <w:bCs/>
                <w:color w:val="44546A"/>
                <w:sz w:val="18"/>
                <w:szCs w:val="18"/>
              </w:rPr>
            </w:pPr>
            <w:r w:rsidRPr="0036473E">
              <w:rPr>
                <w:rFonts w:cs="Calibri"/>
                <w:b/>
                <w:bCs/>
                <w:color w:val="44546A"/>
                <w:sz w:val="18"/>
                <w:szCs w:val="18"/>
              </w:rPr>
              <w:t>93100 Pudasjärvi</w:t>
            </w:r>
          </w:p>
        </w:tc>
      </w:tr>
      <w:tr w:rsidR="00A32A92" w:rsidRPr="0036473E" w14:paraId="0E0FFD11"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10365488" w14:textId="77777777" w:rsidR="00A32A92" w:rsidRPr="0036473E" w:rsidRDefault="00A32A92" w:rsidP="008B4EAF">
            <w:pPr>
              <w:rPr>
                <w:rFonts w:cs="Calibri"/>
                <w:b/>
                <w:bCs/>
                <w:color w:val="44546A"/>
                <w:sz w:val="18"/>
                <w:szCs w:val="18"/>
              </w:rPr>
            </w:pPr>
            <w:r w:rsidRPr="0036473E">
              <w:rPr>
                <w:rFonts w:cs="Calibri"/>
                <w:b/>
                <w:bCs/>
                <w:color w:val="44546A"/>
                <w:sz w:val="18"/>
                <w:szCs w:val="18"/>
              </w:rPr>
              <w:t xml:space="preserve">Pyhäjärvi </w:t>
            </w:r>
          </w:p>
        </w:tc>
        <w:tc>
          <w:tcPr>
            <w:tcW w:w="2038" w:type="dxa"/>
            <w:tcBorders>
              <w:top w:val="nil"/>
              <w:left w:val="nil"/>
              <w:bottom w:val="single" w:sz="8" w:space="0" w:color="9BC2E6"/>
              <w:right w:val="nil"/>
            </w:tcBorders>
            <w:shd w:val="clear" w:color="auto" w:fill="auto"/>
            <w:noWrap/>
            <w:vAlign w:val="bottom"/>
            <w:hideMark/>
          </w:tcPr>
          <w:p w14:paraId="0F55AA32" w14:textId="77777777" w:rsidR="00A32A92" w:rsidRPr="0036473E" w:rsidRDefault="00A32A92" w:rsidP="008B4EAF">
            <w:pPr>
              <w:rPr>
                <w:rFonts w:cs="Calibri"/>
                <w:b/>
                <w:bCs/>
                <w:color w:val="44546A"/>
                <w:sz w:val="18"/>
                <w:szCs w:val="18"/>
              </w:rPr>
            </w:pPr>
            <w:r w:rsidRPr="0036473E">
              <w:rPr>
                <w:rFonts w:cs="Calibri"/>
                <w:b/>
                <w:bCs/>
                <w:color w:val="44546A"/>
                <w:sz w:val="18"/>
                <w:szCs w:val="18"/>
              </w:rPr>
              <w:t>Toipilaspolku 1</w:t>
            </w:r>
          </w:p>
        </w:tc>
        <w:tc>
          <w:tcPr>
            <w:tcW w:w="2307" w:type="dxa"/>
            <w:tcBorders>
              <w:top w:val="nil"/>
              <w:left w:val="nil"/>
              <w:bottom w:val="single" w:sz="8" w:space="0" w:color="9BC2E6"/>
              <w:right w:val="nil"/>
            </w:tcBorders>
            <w:shd w:val="clear" w:color="auto" w:fill="auto"/>
            <w:noWrap/>
            <w:vAlign w:val="bottom"/>
            <w:hideMark/>
          </w:tcPr>
          <w:p w14:paraId="646EE9E6" w14:textId="77777777" w:rsidR="00A32A92" w:rsidRPr="0036473E" w:rsidRDefault="00A32A92" w:rsidP="008B4EAF">
            <w:pPr>
              <w:rPr>
                <w:rFonts w:cs="Calibri"/>
                <w:b/>
                <w:bCs/>
                <w:color w:val="44546A"/>
                <w:sz w:val="18"/>
                <w:szCs w:val="18"/>
              </w:rPr>
            </w:pPr>
            <w:r w:rsidRPr="0036473E">
              <w:rPr>
                <w:rFonts w:cs="Calibri"/>
                <w:b/>
                <w:bCs/>
                <w:color w:val="44546A"/>
                <w:sz w:val="18"/>
                <w:szCs w:val="18"/>
              </w:rPr>
              <w:t>86800 Pyhäjärvi</w:t>
            </w:r>
          </w:p>
        </w:tc>
      </w:tr>
      <w:tr w:rsidR="00A32A92" w:rsidRPr="0036473E" w14:paraId="4C89F9FF"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166C26DB" w14:textId="77777777" w:rsidR="00A32A92" w:rsidRPr="0036473E" w:rsidRDefault="00A32A92" w:rsidP="008B4EAF">
            <w:pPr>
              <w:rPr>
                <w:rFonts w:cs="Calibri"/>
                <w:b/>
                <w:bCs/>
                <w:color w:val="44546A"/>
                <w:sz w:val="18"/>
                <w:szCs w:val="18"/>
              </w:rPr>
            </w:pPr>
            <w:r w:rsidRPr="0036473E">
              <w:rPr>
                <w:rFonts w:cs="Calibri"/>
                <w:b/>
                <w:bCs/>
                <w:color w:val="44546A"/>
                <w:sz w:val="18"/>
                <w:szCs w:val="18"/>
              </w:rPr>
              <w:t>Raahe</w:t>
            </w:r>
          </w:p>
        </w:tc>
        <w:tc>
          <w:tcPr>
            <w:tcW w:w="2038" w:type="dxa"/>
            <w:tcBorders>
              <w:top w:val="nil"/>
              <w:left w:val="nil"/>
              <w:bottom w:val="single" w:sz="8" w:space="0" w:color="9BC2E6"/>
              <w:right w:val="nil"/>
            </w:tcBorders>
            <w:shd w:val="clear" w:color="auto" w:fill="auto"/>
            <w:noWrap/>
            <w:vAlign w:val="bottom"/>
            <w:hideMark/>
          </w:tcPr>
          <w:p w14:paraId="4E1B6371" w14:textId="77777777" w:rsidR="00A32A92" w:rsidRPr="0036473E" w:rsidRDefault="00A32A92" w:rsidP="008B4EAF">
            <w:pPr>
              <w:rPr>
                <w:rFonts w:cs="Calibri"/>
                <w:b/>
                <w:bCs/>
                <w:color w:val="44546A"/>
                <w:sz w:val="18"/>
                <w:szCs w:val="18"/>
              </w:rPr>
            </w:pPr>
            <w:r w:rsidRPr="0036473E">
              <w:rPr>
                <w:rFonts w:cs="Calibri"/>
                <w:b/>
                <w:bCs/>
                <w:color w:val="44546A"/>
                <w:sz w:val="18"/>
                <w:szCs w:val="18"/>
              </w:rPr>
              <w:t>Rantakatu 4</w:t>
            </w:r>
          </w:p>
        </w:tc>
        <w:tc>
          <w:tcPr>
            <w:tcW w:w="2307" w:type="dxa"/>
            <w:tcBorders>
              <w:top w:val="nil"/>
              <w:left w:val="nil"/>
              <w:bottom w:val="single" w:sz="8" w:space="0" w:color="9BC2E6"/>
              <w:right w:val="nil"/>
            </w:tcBorders>
            <w:shd w:val="clear" w:color="auto" w:fill="auto"/>
            <w:noWrap/>
            <w:vAlign w:val="bottom"/>
            <w:hideMark/>
          </w:tcPr>
          <w:p w14:paraId="0BC2D59F" w14:textId="77777777" w:rsidR="00A32A92" w:rsidRPr="0036473E" w:rsidRDefault="00A32A92" w:rsidP="008B4EAF">
            <w:pPr>
              <w:rPr>
                <w:rFonts w:cs="Calibri"/>
                <w:b/>
                <w:bCs/>
                <w:color w:val="44546A"/>
                <w:sz w:val="18"/>
                <w:szCs w:val="18"/>
              </w:rPr>
            </w:pPr>
            <w:r w:rsidRPr="0036473E">
              <w:rPr>
                <w:rFonts w:cs="Calibri"/>
                <w:b/>
                <w:bCs/>
                <w:color w:val="44546A"/>
                <w:sz w:val="18"/>
                <w:szCs w:val="18"/>
              </w:rPr>
              <w:t>92101 Raahe</w:t>
            </w:r>
          </w:p>
        </w:tc>
      </w:tr>
      <w:tr w:rsidR="00A32A92" w:rsidRPr="0036473E" w14:paraId="1A62D5F4"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64487F2E" w14:textId="77777777" w:rsidR="00A32A92" w:rsidRPr="0036473E" w:rsidRDefault="00A32A92" w:rsidP="008B4EAF">
            <w:pPr>
              <w:rPr>
                <w:rFonts w:cs="Calibri"/>
                <w:b/>
                <w:bCs/>
                <w:color w:val="44546A"/>
                <w:sz w:val="18"/>
                <w:szCs w:val="18"/>
              </w:rPr>
            </w:pPr>
            <w:r w:rsidRPr="0036473E">
              <w:rPr>
                <w:rFonts w:cs="Calibri"/>
                <w:b/>
                <w:bCs/>
                <w:color w:val="44546A"/>
                <w:sz w:val="18"/>
                <w:szCs w:val="18"/>
              </w:rPr>
              <w:t>Taivalkoski</w:t>
            </w:r>
          </w:p>
        </w:tc>
        <w:tc>
          <w:tcPr>
            <w:tcW w:w="2038" w:type="dxa"/>
            <w:tcBorders>
              <w:top w:val="nil"/>
              <w:left w:val="nil"/>
              <w:bottom w:val="single" w:sz="8" w:space="0" w:color="9BC2E6"/>
              <w:right w:val="nil"/>
            </w:tcBorders>
            <w:shd w:val="clear" w:color="auto" w:fill="auto"/>
            <w:noWrap/>
            <w:vAlign w:val="bottom"/>
            <w:hideMark/>
          </w:tcPr>
          <w:p w14:paraId="4C43F5DB" w14:textId="77777777" w:rsidR="00A32A92" w:rsidRPr="0036473E" w:rsidRDefault="00A32A92" w:rsidP="008B4EAF">
            <w:pPr>
              <w:rPr>
                <w:rFonts w:cs="Calibri"/>
                <w:b/>
                <w:bCs/>
                <w:color w:val="44546A"/>
                <w:sz w:val="18"/>
                <w:szCs w:val="18"/>
              </w:rPr>
            </w:pPr>
            <w:r w:rsidRPr="0036473E">
              <w:rPr>
                <w:rFonts w:cs="Calibri"/>
                <w:b/>
                <w:bCs/>
                <w:color w:val="44546A"/>
                <w:sz w:val="18"/>
                <w:szCs w:val="18"/>
              </w:rPr>
              <w:t>Sairaalantie 8A</w:t>
            </w:r>
          </w:p>
        </w:tc>
        <w:tc>
          <w:tcPr>
            <w:tcW w:w="2307" w:type="dxa"/>
            <w:tcBorders>
              <w:top w:val="nil"/>
              <w:left w:val="nil"/>
              <w:bottom w:val="single" w:sz="8" w:space="0" w:color="9BC2E6"/>
              <w:right w:val="nil"/>
            </w:tcBorders>
            <w:shd w:val="clear" w:color="auto" w:fill="auto"/>
            <w:noWrap/>
            <w:vAlign w:val="bottom"/>
            <w:hideMark/>
          </w:tcPr>
          <w:p w14:paraId="663BACD8" w14:textId="77777777" w:rsidR="00A32A92" w:rsidRPr="0036473E" w:rsidRDefault="00A32A92" w:rsidP="008B4EAF">
            <w:pPr>
              <w:rPr>
                <w:rFonts w:cs="Calibri"/>
                <w:b/>
                <w:bCs/>
                <w:color w:val="44546A"/>
                <w:sz w:val="18"/>
                <w:szCs w:val="18"/>
              </w:rPr>
            </w:pPr>
            <w:r w:rsidRPr="0036473E">
              <w:rPr>
                <w:rFonts w:cs="Calibri"/>
                <w:b/>
                <w:bCs/>
                <w:color w:val="44546A"/>
                <w:sz w:val="18"/>
                <w:szCs w:val="18"/>
              </w:rPr>
              <w:t>93400 Taivalkoski</w:t>
            </w:r>
          </w:p>
        </w:tc>
      </w:tr>
      <w:tr w:rsidR="00A32A92" w:rsidRPr="0036473E" w14:paraId="1AEF08E0" w14:textId="77777777" w:rsidTr="008B4EAF">
        <w:trPr>
          <w:trHeight w:val="338"/>
        </w:trPr>
        <w:tc>
          <w:tcPr>
            <w:tcW w:w="2460" w:type="dxa"/>
            <w:tcBorders>
              <w:top w:val="nil"/>
              <w:left w:val="nil"/>
              <w:bottom w:val="single" w:sz="8" w:space="0" w:color="9BC2E6"/>
              <w:right w:val="nil"/>
            </w:tcBorders>
            <w:shd w:val="clear" w:color="auto" w:fill="auto"/>
            <w:noWrap/>
            <w:vAlign w:val="bottom"/>
            <w:hideMark/>
          </w:tcPr>
          <w:p w14:paraId="5CB6B24D" w14:textId="77777777" w:rsidR="00A32A92" w:rsidRPr="0036473E" w:rsidRDefault="00A32A92" w:rsidP="008B4EAF">
            <w:pPr>
              <w:rPr>
                <w:rFonts w:cs="Calibri"/>
                <w:b/>
                <w:bCs/>
                <w:color w:val="44546A"/>
                <w:sz w:val="18"/>
                <w:szCs w:val="18"/>
              </w:rPr>
            </w:pPr>
            <w:r w:rsidRPr="0036473E">
              <w:rPr>
                <w:rFonts w:cs="Calibri"/>
                <w:b/>
                <w:bCs/>
                <w:color w:val="44546A"/>
                <w:sz w:val="18"/>
                <w:szCs w:val="18"/>
              </w:rPr>
              <w:t>Ylivieska</w:t>
            </w:r>
          </w:p>
        </w:tc>
        <w:tc>
          <w:tcPr>
            <w:tcW w:w="2038" w:type="dxa"/>
            <w:tcBorders>
              <w:top w:val="nil"/>
              <w:left w:val="nil"/>
              <w:bottom w:val="single" w:sz="8" w:space="0" w:color="9BC2E6"/>
              <w:right w:val="nil"/>
            </w:tcBorders>
            <w:shd w:val="clear" w:color="auto" w:fill="auto"/>
            <w:noWrap/>
            <w:vAlign w:val="bottom"/>
            <w:hideMark/>
          </w:tcPr>
          <w:p w14:paraId="67E32ACF" w14:textId="77777777" w:rsidR="00A32A92" w:rsidRPr="0036473E" w:rsidRDefault="00A32A92" w:rsidP="008B4EAF">
            <w:pPr>
              <w:rPr>
                <w:rFonts w:cs="Calibri"/>
                <w:b/>
                <w:bCs/>
                <w:color w:val="44546A"/>
                <w:sz w:val="18"/>
                <w:szCs w:val="18"/>
              </w:rPr>
            </w:pPr>
            <w:r w:rsidRPr="0036473E">
              <w:rPr>
                <w:rFonts w:cs="Calibri"/>
                <w:b/>
                <w:bCs/>
                <w:color w:val="44546A"/>
                <w:sz w:val="18"/>
                <w:szCs w:val="18"/>
              </w:rPr>
              <w:t>Kirkkotie 4</w:t>
            </w:r>
          </w:p>
        </w:tc>
        <w:tc>
          <w:tcPr>
            <w:tcW w:w="2307" w:type="dxa"/>
            <w:tcBorders>
              <w:top w:val="nil"/>
              <w:left w:val="nil"/>
              <w:bottom w:val="single" w:sz="8" w:space="0" w:color="9BC2E6"/>
              <w:right w:val="nil"/>
            </w:tcBorders>
            <w:shd w:val="clear" w:color="auto" w:fill="auto"/>
            <w:noWrap/>
            <w:vAlign w:val="bottom"/>
            <w:hideMark/>
          </w:tcPr>
          <w:p w14:paraId="10EE2430" w14:textId="77777777" w:rsidR="00A32A92" w:rsidRPr="0036473E" w:rsidRDefault="00A32A92" w:rsidP="008B4EAF">
            <w:pPr>
              <w:rPr>
                <w:rFonts w:cs="Calibri"/>
                <w:b/>
                <w:bCs/>
                <w:color w:val="44546A"/>
                <w:sz w:val="18"/>
                <w:szCs w:val="18"/>
              </w:rPr>
            </w:pPr>
            <w:r w:rsidRPr="0036473E">
              <w:rPr>
                <w:rFonts w:cs="Calibri"/>
                <w:b/>
                <w:bCs/>
                <w:color w:val="44546A"/>
                <w:sz w:val="18"/>
                <w:szCs w:val="18"/>
              </w:rPr>
              <w:t>84100 Ylivieska</w:t>
            </w:r>
          </w:p>
        </w:tc>
      </w:tr>
    </w:tbl>
    <w:p w14:paraId="5F343F22" w14:textId="77777777" w:rsidR="00A32A92" w:rsidRDefault="00A32A92" w:rsidP="00A32A92">
      <w:pPr>
        <w:jc w:val="both"/>
      </w:pPr>
      <w:r>
        <w:br w:type="page"/>
      </w:r>
    </w:p>
    <w:p w14:paraId="7266D94F" w14:textId="77777777" w:rsidR="00A32A92" w:rsidRPr="00760DC7" w:rsidRDefault="00A32A92" w:rsidP="00A32A92">
      <w:pPr>
        <w:jc w:val="both"/>
      </w:pPr>
    </w:p>
    <w:sdt>
      <w:sdtPr>
        <w:rPr>
          <w:rFonts w:ascii="Trebuchet MS" w:eastAsia="Times New Roman" w:hAnsi="Trebuchet MS" w:cs="Times New Roman"/>
          <w:b w:val="0"/>
          <w:bCs/>
          <w:color w:val="auto"/>
          <w:sz w:val="22"/>
          <w:szCs w:val="22"/>
        </w:rPr>
        <w:id w:val="-40600435"/>
        <w:docPartObj>
          <w:docPartGallery w:val="Table of Contents"/>
          <w:docPartUnique/>
        </w:docPartObj>
      </w:sdtPr>
      <w:sdtEndPr>
        <w:rPr>
          <w:bCs w:val="0"/>
        </w:rPr>
      </w:sdtEndPr>
      <w:sdtContent>
        <w:p w14:paraId="6EABA35B" w14:textId="77777777" w:rsidR="00A32A92" w:rsidRPr="00A32A92" w:rsidRDefault="00A32A92" w:rsidP="00A32A92">
          <w:pPr>
            <w:pStyle w:val="Sisllysluettelonotsikko"/>
            <w:rPr>
              <w:color w:val="auto"/>
            </w:rPr>
          </w:pPr>
          <w:r w:rsidRPr="00A32A92">
            <w:rPr>
              <w:color w:val="auto"/>
            </w:rPr>
            <w:t>Sisältö</w:t>
          </w:r>
        </w:p>
        <w:p w14:paraId="1046309C" w14:textId="44A1423E" w:rsidR="00A32A92" w:rsidRDefault="00A32A92">
          <w:pPr>
            <w:pStyle w:val="Sisluet1"/>
            <w:tabs>
              <w:tab w:val="right" w:leader="dot" w:pos="9628"/>
            </w:tabs>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87227189" w:history="1">
            <w:r w:rsidRPr="00625328">
              <w:rPr>
                <w:rStyle w:val="Hyperlinkki"/>
                <w:rFonts w:eastAsia="Arial"/>
                <w:noProof/>
              </w:rPr>
              <w:t>1. Toiminnan laajuus</w:t>
            </w:r>
            <w:r>
              <w:rPr>
                <w:noProof/>
                <w:webHidden/>
              </w:rPr>
              <w:tab/>
            </w:r>
            <w:r>
              <w:rPr>
                <w:noProof/>
                <w:webHidden/>
              </w:rPr>
              <w:fldChar w:fldCharType="begin"/>
            </w:r>
            <w:r>
              <w:rPr>
                <w:noProof/>
                <w:webHidden/>
              </w:rPr>
              <w:instrText xml:space="preserve"> PAGEREF _Toc187227189 \h </w:instrText>
            </w:r>
            <w:r>
              <w:rPr>
                <w:noProof/>
                <w:webHidden/>
              </w:rPr>
            </w:r>
            <w:r>
              <w:rPr>
                <w:noProof/>
                <w:webHidden/>
              </w:rPr>
              <w:fldChar w:fldCharType="separate"/>
            </w:r>
            <w:r>
              <w:rPr>
                <w:noProof/>
                <w:webHidden/>
              </w:rPr>
              <w:t>3</w:t>
            </w:r>
            <w:r>
              <w:rPr>
                <w:noProof/>
                <w:webHidden/>
              </w:rPr>
              <w:fldChar w:fldCharType="end"/>
            </w:r>
          </w:hyperlink>
        </w:p>
        <w:p w14:paraId="6FC37995" w14:textId="1BD4D6D8" w:rsidR="00A32A92" w:rsidRDefault="007A17E1">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227190" w:history="1">
            <w:r w:rsidR="00A32A92" w:rsidRPr="00625328">
              <w:rPr>
                <w:rStyle w:val="Hyperlinkki"/>
                <w:rFonts w:eastAsiaTheme="minorHAnsi"/>
                <w:noProof/>
                <w:lang w:eastAsia="en-US"/>
              </w:rPr>
              <w:t>2. Yleiset toimet säteilyturvallisuuden varmistamiseksi ja säteilysuojelun optimoimiseksi</w:t>
            </w:r>
            <w:r w:rsidR="00A32A92">
              <w:rPr>
                <w:noProof/>
                <w:webHidden/>
              </w:rPr>
              <w:tab/>
            </w:r>
            <w:r w:rsidR="00A32A92">
              <w:rPr>
                <w:noProof/>
                <w:webHidden/>
              </w:rPr>
              <w:fldChar w:fldCharType="begin"/>
            </w:r>
            <w:r w:rsidR="00A32A92">
              <w:rPr>
                <w:noProof/>
                <w:webHidden/>
              </w:rPr>
              <w:instrText xml:space="preserve"> PAGEREF _Toc187227190 \h </w:instrText>
            </w:r>
            <w:r w:rsidR="00A32A92">
              <w:rPr>
                <w:noProof/>
                <w:webHidden/>
              </w:rPr>
            </w:r>
            <w:r w:rsidR="00A32A92">
              <w:rPr>
                <w:noProof/>
                <w:webHidden/>
              </w:rPr>
              <w:fldChar w:fldCharType="separate"/>
            </w:r>
            <w:r w:rsidR="00A32A92">
              <w:rPr>
                <w:noProof/>
                <w:webHidden/>
              </w:rPr>
              <w:t>3</w:t>
            </w:r>
            <w:r w:rsidR="00A32A92">
              <w:rPr>
                <w:noProof/>
                <w:webHidden/>
              </w:rPr>
              <w:fldChar w:fldCharType="end"/>
            </w:r>
          </w:hyperlink>
        </w:p>
        <w:p w14:paraId="391C29B6" w14:textId="6BBD8D55" w:rsidR="00A32A92" w:rsidRDefault="007A17E1">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227191" w:history="1">
            <w:r w:rsidR="00A32A92" w:rsidRPr="00625328">
              <w:rPr>
                <w:rStyle w:val="Hyperlinkki"/>
                <w:rFonts w:eastAsiaTheme="minorHAnsi"/>
                <w:noProof/>
                <w:lang w:eastAsia="en-US"/>
              </w:rPr>
              <w:t>3. Lääketieteellinen säteilyaltistus</w:t>
            </w:r>
            <w:r w:rsidR="00A32A92">
              <w:rPr>
                <w:noProof/>
                <w:webHidden/>
              </w:rPr>
              <w:tab/>
            </w:r>
            <w:r w:rsidR="00A32A92">
              <w:rPr>
                <w:noProof/>
                <w:webHidden/>
              </w:rPr>
              <w:fldChar w:fldCharType="begin"/>
            </w:r>
            <w:r w:rsidR="00A32A92">
              <w:rPr>
                <w:noProof/>
                <w:webHidden/>
              </w:rPr>
              <w:instrText xml:space="preserve"> PAGEREF _Toc187227191 \h </w:instrText>
            </w:r>
            <w:r w:rsidR="00A32A92">
              <w:rPr>
                <w:noProof/>
                <w:webHidden/>
              </w:rPr>
            </w:r>
            <w:r w:rsidR="00A32A92">
              <w:rPr>
                <w:noProof/>
                <w:webHidden/>
              </w:rPr>
              <w:fldChar w:fldCharType="separate"/>
            </w:r>
            <w:r w:rsidR="00A32A92">
              <w:rPr>
                <w:noProof/>
                <w:webHidden/>
              </w:rPr>
              <w:t>5</w:t>
            </w:r>
            <w:r w:rsidR="00A32A92">
              <w:rPr>
                <w:noProof/>
                <w:webHidden/>
              </w:rPr>
              <w:fldChar w:fldCharType="end"/>
            </w:r>
          </w:hyperlink>
        </w:p>
        <w:p w14:paraId="08790A34" w14:textId="016A5E73" w:rsidR="00A32A92" w:rsidRDefault="007A17E1">
          <w:pPr>
            <w:pStyle w:val="Sisluet2"/>
            <w:tabs>
              <w:tab w:val="right" w:leader="dot" w:pos="9628"/>
            </w:tabs>
            <w:rPr>
              <w:rFonts w:asciiTheme="minorHAnsi" w:eastAsiaTheme="minorEastAsia" w:hAnsiTheme="minorHAnsi" w:cstheme="minorBidi"/>
              <w:noProof/>
              <w:kern w:val="2"/>
              <w14:ligatures w14:val="standardContextual"/>
            </w:rPr>
          </w:pPr>
          <w:hyperlink w:anchor="_Toc187227192" w:history="1">
            <w:r w:rsidR="00A32A92" w:rsidRPr="00625328">
              <w:rPr>
                <w:rStyle w:val="Hyperlinkki"/>
                <w:rFonts w:eastAsiaTheme="minorHAnsi"/>
                <w:noProof/>
                <w:lang w:eastAsia="en-US"/>
              </w:rPr>
              <w:t>Tietokonetomografia</w:t>
            </w:r>
            <w:r w:rsidR="00A32A92">
              <w:rPr>
                <w:noProof/>
                <w:webHidden/>
              </w:rPr>
              <w:tab/>
            </w:r>
            <w:r w:rsidR="00A32A92">
              <w:rPr>
                <w:noProof/>
                <w:webHidden/>
              </w:rPr>
              <w:fldChar w:fldCharType="begin"/>
            </w:r>
            <w:r w:rsidR="00A32A92">
              <w:rPr>
                <w:noProof/>
                <w:webHidden/>
              </w:rPr>
              <w:instrText xml:space="preserve"> PAGEREF _Toc187227192 \h </w:instrText>
            </w:r>
            <w:r w:rsidR="00A32A92">
              <w:rPr>
                <w:noProof/>
                <w:webHidden/>
              </w:rPr>
            </w:r>
            <w:r w:rsidR="00A32A92">
              <w:rPr>
                <w:noProof/>
                <w:webHidden/>
              </w:rPr>
              <w:fldChar w:fldCharType="separate"/>
            </w:r>
            <w:r w:rsidR="00A32A92">
              <w:rPr>
                <w:noProof/>
                <w:webHidden/>
              </w:rPr>
              <w:t>5</w:t>
            </w:r>
            <w:r w:rsidR="00A32A92">
              <w:rPr>
                <w:noProof/>
                <w:webHidden/>
              </w:rPr>
              <w:fldChar w:fldCharType="end"/>
            </w:r>
          </w:hyperlink>
        </w:p>
        <w:p w14:paraId="268933A0" w14:textId="40171B71" w:rsidR="00A32A92" w:rsidRDefault="007A17E1">
          <w:pPr>
            <w:pStyle w:val="Sisluet2"/>
            <w:tabs>
              <w:tab w:val="right" w:leader="dot" w:pos="9628"/>
            </w:tabs>
            <w:rPr>
              <w:rFonts w:asciiTheme="minorHAnsi" w:eastAsiaTheme="minorEastAsia" w:hAnsiTheme="minorHAnsi" w:cstheme="minorBidi"/>
              <w:noProof/>
              <w:kern w:val="2"/>
              <w14:ligatures w14:val="standardContextual"/>
            </w:rPr>
          </w:pPr>
          <w:hyperlink w:anchor="_Toc187227193" w:history="1">
            <w:r w:rsidR="00A32A92" w:rsidRPr="00625328">
              <w:rPr>
                <w:rStyle w:val="Hyperlinkki"/>
                <w:rFonts w:eastAsiaTheme="minorHAnsi"/>
                <w:noProof/>
                <w:lang w:eastAsia="en-US"/>
              </w:rPr>
              <w:t>Hammas- ja raaja-KKTT</w:t>
            </w:r>
            <w:r w:rsidR="00A32A92">
              <w:rPr>
                <w:noProof/>
                <w:webHidden/>
              </w:rPr>
              <w:tab/>
            </w:r>
            <w:r w:rsidR="00A32A92">
              <w:rPr>
                <w:noProof/>
                <w:webHidden/>
              </w:rPr>
              <w:fldChar w:fldCharType="begin"/>
            </w:r>
            <w:r w:rsidR="00A32A92">
              <w:rPr>
                <w:noProof/>
                <w:webHidden/>
              </w:rPr>
              <w:instrText xml:space="preserve"> PAGEREF _Toc187227193 \h </w:instrText>
            </w:r>
            <w:r w:rsidR="00A32A92">
              <w:rPr>
                <w:noProof/>
                <w:webHidden/>
              </w:rPr>
            </w:r>
            <w:r w:rsidR="00A32A92">
              <w:rPr>
                <w:noProof/>
                <w:webHidden/>
              </w:rPr>
              <w:fldChar w:fldCharType="separate"/>
            </w:r>
            <w:r w:rsidR="00A32A92">
              <w:rPr>
                <w:noProof/>
                <w:webHidden/>
              </w:rPr>
              <w:t>6</w:t>
            </w:r>
            <w:r w:rsidR="00A32A92">
              <w:rPr>
                <w:noProof/>
                <w:webHidden/>
              </w:rPr>
              <w:fldChar w:fldCharType="end"/>
            </w:r>
          </w:hyperlink>
        </w:p>
        <w:p w14:paraId="788E4695" w14:textId="52D629DC" w:rsidR="00A32A92" w:rsidRDefault="007A17E1">
          <w:pPr>
            <w:pStyle w:val="Sisluet2"/>
            <w:tabs>
              <w:tab w:val="right" w:leader="dot" w:pos="9628"/>
            </w:tabs>
            <w:rPr>
              <w:rFonts w:asciiTheme="minorHAnsi" w:eastAsiaTheme="minorEastAsia" w:hAnsiTheme="minorHAnsi" w:cstheme="minorBidi"/>
              <w:noProof/>
              <w:kern w:val="2"/>
              <w14:ligatures w14:val="standardContextual"/>
            </w:rPr>
          </w:pPr>
          <w:hyperlink w:anchor="_Toc187227194" w:history="1">
            <w:r w:rsidR="00A32A92" w:rsidRPr="00625328">
              <w:rPr>
                <w:rStyle w:val="Hyperlinkki"/>
                <w:rFonts w:eastAsiaTheme="minorHAnsi"/>
                <w:noProof/>
                <w:lang w:eastAsia="en-US"/>
              </w:rPr>
              <w:t>Natiiviröntgentoiminta (ml. hammaskuvaukset ja mammografia)</w:t>
            </w:r>
            <w:r w:rsidR="00A32A92">
              <w:rPr>
                <w:noProof/>
                <w:webHidden/>
              </w:rPr>
              <w:tab/>
            </w:r>
            <w:r w:rsidR="00A32A92">
              <w:rPr>
                <w:noProof/>
                <w:webHidden/>
              </w:rPr>
              <w:fldChar w:fldCharType="begin"/>
            </w:r>
            <w:r w:rsidR="00A32A92">
              <w:rPr>
                <w:noProof/>
                <w:webHidden/>
              </w:rPr>
              <w:instrText xml:space="preserve"> PAGEREF _Toc187227194 \h </w:instrText>
            </w:r>
            <w:r w:rsidR="00A32A92">
              <w:rPr>
                <w:noProof/>
                <w:webHidden/>
              </w:rPr>
            </w:r>
            <w:r w:rsidR="00A32A92">
              <w:rPr>
                <w:noProof/>
                <w:webHidden/>
              </w:rPr>
              <w:fldChar w:fldCharType="separate"/>
            </w:r>
            <w:r w:rsidR="00A32A92">
              <w:rPr>
                <w:noProof/>
                <w:webHidden/>
              </w:rPr>
              <w:t>6</w:t>
            </w:r>
            <w:r w:rsidR="00A32A92">
              <w:rPr>
                <w:noProof/>
                <w:webHidden/>
              </w:rPr>
              <w:fldChar w:fldCharType="end"/>
            </w:r>
          </w:hyperlink>
        </w:p>
        <w:p w14:paraId="0536AA95" w14:textId="580008DA" w:rsidR="00A32A92" w:rsidRDefault="007A17E1">
          <w:pPr>
            <w:pStyle w:val="Sisluet2"/>
            <w:tabs>
              <w:tab w:val="right" w:leader="dot" w:pos="9628"/>
            </w:tabs>
            <w:rPr>
              <w:rFonts w:asciiTheme="minorHAnsi" w:eastAsiaTheme="minorEastAsia" w:hAnsiTheme="minorHAnsi" w:cstheme="minorBidi"/>
              <w:noProof/>
              <w:kern w:val="2"/>
              <w14:ligatures w14:val="standardContextual"/>
            </w:rPr>
          </w:pPr>
          <w:hyperlink w:anchor="_Toc187227195" w:history="1">
            <w:r w:rsidR="00A32A92" w:rsidRPr="00625328">
              <w:rPr>
                <w:rStyle w:val="Hyperlinkki"/>
                <w:rFonts w:eastAsiaTheme="minorHAnsi"/>
                <w:noProof/>
                <w:lang w:eastAsia="en-US"/>
              </w:rPr>
              <w:t>Läpivalaisu-ja angiografiatutkimukset sekä -toimenpiteet</w:t>
            </w:r>
            <w:r w:rsidR="00A32A92">
              <w:rPr>
                <w:noProof/>
                <w:webHidden/>
              </w:rPr>
              <w:tab/>
            </w:r>
            <w:r w:rsidR="00A32A92">
              <w:rPr>
                <w:noProof/>
                <w:webHidden/>
              </w:rPr>
              <w:fldChar w:fldCharType="begin"/>
            </w:r>
            <w:r w:rsidR="00A32A92">
              <w:rPr>
                <w:noProof/>
                <w:webHidden/>
              </w:rPr>
              <w:instrText xml:space="preserve"> PAGEREF _Toc187227195 \h </w:instrText>
            </w:r>
            <w:r w:rsidR="00A32A92">
              <w:rPr>
                <w:noProof/>
                <w:webHidden/>
              </w:rPr>
            </w:r>
            <w:r w:rsidR="00A32A92">
              <w:rPr>
                <w:noProof/>
                <w:webHidden/>
              </w:rPr>
              <w:fldChar w:fldCharType="separate"/>
            </w:r>
            <w:r w:rsidR="00A32A92">
              <w:rPr>
                <w:noProof/>
                <w:webHidden/>
              </w:rPr>
              <w:t>7</w:t>
            </w:r>
            <w:r w:rsidR="00A32A92">
              <w:rPr>
                <w:noProof/>
                <w:webHidden/>
              </w:rPr>
              <w:fldChar w:fldCharType="end"/>
            </w:r>
          </w:hyperlink>
        </w:p>
        <w:p w14:paraId="1D3AD1B3" w14:textId="60D845B7" w:rsidR="00A32A92" w:rsidRDefault="007A17E1">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227196" w:history="1">
            <w:r w:rsidR="00A32A92" w:rsidRPr="00625328">
              <w:rPr>
                <w:rStyle w:val="Hyperlinkki"/>
                <w:rFonts w:eastAsiaTheme="minorHAnsi"/>
                <w:noProof/>
                <w:lang w:eastAsia="en-US"/>
              </w:rPr>
              <w:t>4. Työperäinen altistus</w:t>
            </w:r>
            <w:r w:rsidR="00A32A92">
              <w:rPr>
                <w:noProof/>
                <w:webHidden/>
              </w:rPr>
              <w:tab/>
            </w:r>
            <w:r w:rsidR="00A32A92">
              <w:rPr>
                <w:noProof/>
                <w:webHidden/>
              </w:rPr>
              <w:fldChar w:fldCharType="begin"/>
            </w:r>
            <w:r w:rsidR="00A32A92">
              <w:rPr>
                <w:noProof/>
                <w:webHidden/>
              </w:rPr>
              <w:instrText xml:space="preserve"> PAGEREF _Toc187227196 \h </w:instrText>
            </w:r>
            <w:r w:rsidR="00A32A92">
              <w:rPr>
                <w:noProof/>
                <w:webHidden/>
              </w:rPr>
            </w:r>
            <w:r w:rsidR="00A32A92">
              <w:rPr>
                <w:noProof/>
                <w:webHidden/>
              </w:rPr>
              <w:fldChar w:fldCharType="separate"/>
            </w:r>
            <w:r w:rsidR="00A32A92">
              <w:rPr>
                <w:noProof/>
                <w:webHidden/>
              </w:rPr>
              <w:t>8</w:t>
            </w:r>
            <w:r w:rsidR="00A32A92">
              <w:rPr>
                <w:noProof/>
                <w:webHidden/>
              </w:rPr>
              <w:fldChar w:fldCharType="end"/>
            </w:r>
          </w:hyperlink>
        </w:p>
        <w:p w14:paraId="748B8303" w14:textId="74D9500D" w:rsidR="00A32A92" w:rsidRDefault="007A17E1">
          <w:pPr>
            <w:pStyle w:val="Sisluet2"/>
            <w:tabs>
              <w:tab w:val="right" w:leader="dot" w:pos="9628"/>
            </w:tabs>
            <w:rPr>
              <w:rFonts w:asciiTheme="minorHAnsi" w:eastAsiaTheme="minorEastAsia" w:hAnsiTheme="minorHAnsi" w:cstheme="minorBidi"/>
              <w:noProof/>
              <w:kern w:val="2"/>
              <w14:ligatures w14:val="standardContextual"/>
            </w:rPr>
          </w:pPr>
          <w:hyperlink w:anchor="_Toc187227197" w:history="1">
            <w:r w:rsidR="00A32A92" w:rsidRPr="00625328">
              <w:rPr>
                <w:rStyle w:val="Hyperlinkki"/>
                <w:rFonts w:eastAsiaTheme="minorHAnsi"/>
                <w:noProof/>
                <w:lang w:eastAsia="en-US"/>
              </w:rPr>
              <w:t>Tietokonetomografia</w:t>
            </w:r>
            <w:r w:rsidR="00A32A92">
              <w:rPr>
                <w:noProof/>
                <w:webHidden/>
              </w:rPr>
              <w:tab/>
            </w:r>
            <w:r w:rsidR="00A32A92">
              <w:rPr>
                <w:noProof/>
                <w:webHidden/>
              </w:rPr>
              <w:fldChar w:fldCharType="begin"/>
            </w:r>
            <w:r w:rsidR="00A32A92">
              <w:rPr>
                <w:noProof/>
                <w:webHidden/>
              </w:rPr>
              <w:instrText xml:space="preserve"> PAGEREF _Toc187227197 \h </w:instrText>
            </w:r>
            <w:r w:rsidR="00A32A92">
              <w:rPr>
                <w:noProof/>
                <w:webHidden/>
              </w:rPr>
            </w:r>
            <w:r w:rsidR="00A32A92">
              <w:rPr>
                <w:noProof/>
                <w:webHidden/>
              </w:rPr>
              <w:fldChar w:fldCharType="separate"/>
            </w:r>
            <w:r w:rsidR="00A32A92">
              <w:rPr>
                <w:noProof/>
                <w:webHidden/>
              </w:rPr>
              <w:t>9</w:t>
            </w:r>
            <w:r w:rsidR="00A32A92">
              <w:rPr>
                <w:noProof/>
                <w:webHidden/>
              </w:rPr>
              <w:fldChar w:fldCharType="end"/>
            </w:r>
          </w:hyperlink>
        </w:p>
        <w:p w14:paraId="272DF2C4" w14:textId="636AA58B" w:rsidR="00A32A92" w:rsidRDefault="007A17E1">
          <w:pPr>
            <w:pStyle w:val="Sisluet2"/>
            <w:tabs>
              <w:tab w:val="right" w:leader="dot" w:pos="9628"/>
            </w:tabs>
            <w:rPr>
              <w:rFonts w:asciiTheme="minorHAnsi" w:eastAsiaTheme="minorEastAsia" w:hAnsiTheme="minorHAnsi" w:cstheme="minorBidi"/>
              <w:noProof/>
              <w:kern w:val="2"/>
              <w14:ligatures w14:val="standardContextual"/>
            </w:rPr>
          </w:pPr>
          <w:hyperlink w:anchor="_Toc187227198" w:history="1">
            <w:r w:rsidR="00A32A92" w:rsidRPr="00625328">
              <w:rPr>
                <w:rStyle w:val="Hyperlinkki"/>
                <w:rFonts w:eastAsiaTheme="minorHAnsi"/>
                <w:noProof/>
                <w:lang w:eastAsia="en-US"/>
              </w:rPr>
              <w:t>Hammas- ja raaja-KKTT</w:t>
            </w:r>
            <w:r w:rsidR="00A32A92">
              <w:rPr>
                <w:noProof/>
                <w:webHidden/>
              </w:rPr>
              <w:tab/>
            </w:r>
            <w:r w:rsidR="00A32A92">
              <w:rPr>
                <w:noProof/>
                <w:webHidden/>
              </w:rPr>
              <w:fldChar w:fldCharType="begin"/>
            </w:r>
            <w:r w:rsidR="00A32A92">
              <w:rPr>
                <w:noProof/>
                <w:webHidden/>
              </w:rPr>
              <w:instrText xml:space="preserve"> PAGEREF _Toc187227198 \h </w:instrText>
            </w:r>
            <w:r w:rsidR="00A32A92">
              <w:rPr>
                <w:noProof/>
                <w:webHidden/>
              </w:rPr>
            </w:r>
            <w:r w:rsidR="00A32A92">
              <w:rPr>
                <w:noProof/>
                <w:webHidden/>
              </w:rPr>
              <w:fldChar w:fldCharType="separate"/>
            </w:r>
            <w:r w:rsidR="00A32A92">
              <w:rPr>
                <w:noProof/>
                <w:webHidden/>
              </w:rPr>
              <w:t>9</w:t>
            </w:r>
            <w:r w:rsidR="00A32A92">
              <w:rPr>
                <w:noProof/>
                <w:webHidden/>
              </w:rPr>
              <w:fldChar w:fldCharType="end"/>
            </w:r>
          </w:hyperlink>
        </w:p>
        <w:p w14:paraId="28C7199A" w14:textId="148E83FF" w:rsidR="00A32A92" w:rsidRDefault="007A17E1">
          <w:pPr>
            <w:pStyle w:val="Sisluet2"/>
            <w:tabs>
              <w:tab w:val="right" w:leader="dot" w:pos="9628"/>
            </w:tabs>
            <w:rPr>
              <w:rFonts w:asciiTheme="minorHAnsi" w:eastAsiaTheme="minorEastAsia" w:hAnsiTheme="minorHAnsi" w:cstheme="minorBidi"/>
              <w:noProof/>
              <w:kern w:val="2"/>
              <w14:ligatures w14:val="standardContextual"/>
            </w:rPr>
          </w:pPr>
          <w:hyperlink w:anchor="_Toc187227199" w:history="1">
            <w:r w:rsidR="00A32A92" w:rsidRPr="00625328">
              <w:rPr>
                <w:rStyle w:val="Hyperlinkki"/>
                <w:rFonts w:eastAsiaTheme="minorHAnsi"/>
                <w:noProof/>
                <w:lang w:eastAsia="en-US"/>
              </w:rPr>
              <w:t>Natiiviröntgentoiminta (ml. hammaskuvaukset ja mammografia)</w:t>
            </w:r>
            <w:r w:rsidR="00A32A92">
              <w:rPr>
                <w:noProof/>
                <w:webHidden/>
              </w:rPr>
              <w:tab/>
            </w:r>
            <w:r w:rsidR="00A32A92">
              <w:rPr>
                <w:noProof/>
                <w:webHidden/>
              </w:rPr>
              <w:fldChar w:fldCharType="begin"/>
            </w:r>
            <w:r w:rsidR="00A32A92">
              <w:rPr>
                <w:noProof/>
                <w:webHidden/>
              </w:rPr>
              <w:instrText xml:space="preserve"> PAGEREF _Toc187227199 \h </w:instrText>
            </w:r>
            <w:r w:rsidR="00A32A92">
              <w:rPr>
                <w:noProof/>
                <w:webHidden/>
              </w:rPr>
            </w:r>
            <w:r w:rsidR="00A32A92">
              <w:rPr>
                <w:noProof/>
                <w:webHidden/>
              </w:rPr>
              <w:fldChar w:fldCharType="separate"/>
            </w:r>
            <w:r w:rsidR="00A32A92">
              <w:rPr>
                <w:noProof/>
                <w:webHidden/>
              </w:rPr>
              <w:t>9</w:t>
            </w:r>
            <w:r w:rsidR="00A32A92">
              <w:rPr>
                <w:noProof/>
                <w:webHidden/>
              </w:rPr>
              <w:fldChar w:fldCharType="end"/>
            </w:r>
          </w:hyperlink>
        </w:p>
        <w:p w14:paraId="792DFEF6" w14:textId="4A5B24CC" w:rsidR="00A32A92" w:rsidRDefault="007A17E1">
          <w:pPr>
            <w:pStyle w:val="Sisluet2"/>
            <w:tabs>
              <w:tab w:val="right" w:leader="dot" w:pos="9628"/>
            </w:tabs>
            <w:rPr>
              <w:rFonts w:asciiTheme="minorHAnsi" w:eastAsiaTheme="minorEastAsia" w:hAnsiTheme="minorHAnsi" w:cstheme="minorBidi"/>
              <w:noProof/>
              <w:kern w:val="2"/>
              <w14:ligatures w14:val="standardContextual"/>
            </w:rPr>
          </w:pPr>
          <w:hyperlink w:anchor="_Toc187227200" w:history="1">
            <w:r w:rsidR="00A32A92" w:rsidRPr="00625328">
              <w:rPr>
                <w:rStyle w:val="Hyperlinkki"/>
                <w:rFonts w:eastAsiaTheme="minorHAnsi"/>
                <w:noProof/>
                <w:lang w:eastAsia="en-US"/>
              </w:rPr>
              <w:t>Läpivalaisu-ja angiografiatutkimukset sekä -toimenpiteet</w:t>
            </w:r>
            <w:r w:rsidR="00A32A92">
              <w:rPr>
                <w:noProof/>
                <w:webHidden/>
              </w:rPr>
              <w:tab/>
            </w:r>
            <w:r w:rsidR="00A32A92">
              <w:rPr>
                <w:noProof/>
                <w:webHidden/>
              </w:rPr>
              <w:fldChar w:fldCharType="begin"/>
            </w:r>
            <w:r w:rsidR="00A32A92">
              <w:rPr>
                <w:noProof/>
                <w:webHidden/>
              </w:rPr>
              <w:instrText xml:space="preserve"> PAGEREF _Toc187227200 \h </w:instrText>
            </w:r>
            <w:r w:rsidR="00A32A92">
              <w:rPr>
                <w:noProof/>
                <w:webHidden/>
              </w:rPr>
            </w:r>
            <w:r w:rsidR="00A32A92">
              <w:rPr>
                <w:noProof/>
                <w:webHidden/>
              </w:rPr>
              <w:fldChar w:fldCharType="separate"/>
            </w:r>
            <w:r w:rsidR="00A32A92">
              <w:rPr>
                <w:noProof/>
                <w:webHidden/>
              </w:rPr>
              <w:t>10</w:t>
            </w:r>
            <w:r w:rsidR="00A32A92">
              <w:rPr>
                <w:noProof/>
                <w:webHidden/>
              </w:rPr>
              <w:fldChar w:fldCharType="end"/>
            </w:r>
          </w:hyperlink>
        </w:p>
        <w:p w14:paraId="749B1149" w14:textId="6EBE2065" w:rsidR="00A32A92" w:rsidRDefault="007A17E1">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227201" w:history="1">
            <w:r w:rsidR="00A32A92" w:rsidRPr="00625328">
              <w:rPr>
                <w:rStyle w:val="Hyperlinkki"/>
                <w:rFonts w:eastAsiaTheme="minorHAnsi"/>
                <w:noProof/>
                <w:lang w:eastAsia="en-US"/>
              </w:rPr>
              <w:t>5. Väestön altistus</w:t>
            </w:r>
            <w:r w:rsidR="00A32A92">
              <w:rPr>
                <w:noProof/>
                <w:webHidden/>
              </w:rPr>
              <w:tab/>
            </w:r>
            <w:r w:rsidR="00A32A92">
              <w:rPr>
                <w:noProof/>
                <w:webHidden/>
              </w:rPr>
              <w:fldChar w:fldCharType="begin"/>
            </w:r>
            <w:r w:rsidR="00A32A92">
              <w:rPr>
                <w:noProof/>
                <w:webHidden/>
              </w:rPr>
              <w:instrText xml:space="preserve"> PAGEREF _Toc187227201 \h </w:instrText>
            </w:r>
            <w:r w:rsidR="00A32A92">
              <w:rPr>
                <w:noProof/>
                <w:webHidden/>
              </w:rPr>
            </w:r>
            <w:r w:rsidR="00A32A92">
              <w:rPr>
                <w:noProof/>
                <w:webHidden/>
              </w:rPr>
              <w:fldChar w:fldCharType="separate"/>
            </w:r>
            <w:r w:rsidR="00A32A92">
              <w:rPr>
                <w:noProof/>
                <w:webHidden/>
              </w:rPr>
              <w:t>11</w:t>
            </w:r>
            <w:r w:rsidR="00A32A92">
              <w:rPr>
                <w:noProof/>
                <w:webHidden/>
              </w:rPr>
              <w:fldChar w:fldCharType="end"/>
            </w:r>
          </w:hyperlink>
        </w:p>
        <w:p w14:paraId="7BF30957" w14:textId="390AC028" w:rsidR="00A32A92" w:rsidRDefault="007A17E1">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227202" w:history="1">
            <w:r w:rsidR="00A32A92" w:rsidRPr="00625328">
              <w:rPr>
                <w:rStyle w:val="Hyperlinkki"/>
                <w:noProof/>
                <w:lang w:eastAsia="en-US"/>
              </w:rPr>
              <w:t>6. Luokittelujen kooste</w:t>
            </w:r>
            <w:r w:rsidR="00A32A92">
              <w:rPr>
                <w:noProof/>
                <w:webHidden/>
              </w:rPr>
              <w:tab/>
            </w:r>
            <w:r w:rsidR="00A32A92">
              <w:rPr>
                <w:noProof/>
                <w:webHidden/>
              </w:rPr>
              <w:fldChar w:fldCharType="begin"/>
            </w:r>
            <w:r w:rsidR="00A32A92">
              <w:rPr>
                <w:noProof/>
                <w:webHidden/>
              </w:rPr>
              <w:instrText xml:space="preserve"> PAGEREF _Toc187227202 \h </w:instrText>
            </w:r>
            <w:r w:rsidR="00A32A92">
              <w:rPr>
                <w:noProof/>
                <w:webHidden/>
              </w:rPr>
            </w:r>
            <w:r w:rsidR="00A32A92">
              <w:rPr>
                <w:noProof/>
                <w:webHidden/>
              </w:rPr>
              <w:fldChar w:fldCharType="separate"/>
            </w:r>
            <w:r w:rsidR="00A32A92">
              <w:rPr>
                <w:noProof/>
                <w:webHidden/>
              </w:rPr>
              <w:t>11</w:t>
            </w:r>
            <w:r w:rsidR="00A32A92">
              <w:rPr>
                <w:noProof/>
                <w:webHidden/>
              </w:rPr>
              <w:fldChar w:fldCharType="end"/>
            </w:r>
          </w:hyperlink>
        </w:p>
        <w:p w14:paraId="35BA3722" w14:textId="0AE5C48E" w:rsidR="00A32A92" w:rsidRDefault="007A17E1">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227203" w:history="1">
            <w:r w:rsidR="00A32A92" w:rsidRPr="00625328">
              <w:rPr>
                <w:rStyle w:val="Hyperlinkki"/>
                <w:rFonts w:eastAsiaTheme="minorHAnsi"/>
                <w:noProof/>
                <w:lang w:eastAsia="en-US"/>
              </w:rPr>
              <w:t>7. Tunnistetut säteilyturvallisuuspoikkeamat</w:t>
            </w:r>
            <w:r w:rsidR="00A32A92">
              <w:rPr>
                <w:noProof/>
                <w:webHidden/>
              </w:rPr>
              <w:tab/>
            </w:r>
            <w:r w:rsidR="00A32A92">
              <w:rPr>
                <w:noProof/>
                <w:webHidden/>
              </w:rPr>
              <w:fldChar w:fldCharType="begin"/>
            </w:r>
            <w:r w:rsidR="00A32A92">
              <w:rPr>
                <w:noProof/>
                <w:webHidden/>
              </w:rPr>
              <w:instrText xml:space="preserve"> PAGEREF _Toc187227203 \h </w:instrText>
            </w:r>
            <w:r w:rsidR="00A32A92">
              <w:rPr>
                <w:noProof/>
                <w:webHidden/>
              </w:rPr>
            </w:r>
            <w:r w:rsidR="00A32A92">
              <w:rPr>
                <w:noProof/>
                <w:webHidden/>
              </w:rPr>
              <w:fldChar w:fldCharType="separate"/>
            </w:r>
            <w:r w:rsidR="00A32A92">
              <w:rPr>
                <w:noProof/>
                <w:webHidden/>
              </w:rPr>
              <w:t>12</w:t>
            </w:r>
            <w:r w:rsidR="00A32A92">
              <w:rPr>
                <w:noProof/>
                <w:webHidden/>
              </w:rPr>
              <w:fldChar w:fldCharType="end"/>
            </w:r>
          </w:hyperlink>
        </w:p>
        <w:p w14:paraId="43E1D5D0" w14:textId="61A1FDDA" w:rsidR="00A32A92" w:rsidRDefault="007A17E1">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227204" w:history="1">
            <w:r w:rsidR="00A32A92" w:rsidRPr="00625328">
              <w:rPr>
                <w:rStyle w:val="Hyperlinkki"/>
                <w:rFonts w:eastAsiaTheme="minorHAnsi"/>
                <w:noProof/>
                <w:lang w:eastAsia="en-US"/>
              </w:rPr>
              <w:t>8. Toimet tunnistettujen säteilyturvallisuuspoikkeamien ennalta-ehkäisemiseksi sekä niihin varautumiseksi</w:t>
            </w:r>
            <w:r w:rsidR="00A32A92">
              <w:rPr>
                <w:noProof/>
                <w:webHidden/>
              </w:rPr>
              <w:tab/>
            </w:r>
            <w:r w:rsidR="00A32A92">
              <w:rPr>
                <w:noProof/>
                <w:webHidden/>
              </w:rPr>
              <w:fldChar w:fldCharType="begin"/>
            </w:r>
            <w:r w:rsidR="00A32A92">
              <w:rPr>
                <w:noProof/>
                <w:webHidden/>
              </w:rPr>
              <w:instrText xml:space="preserve"> PAGEREF _Toc187227204 \h </w:instrText>
            </w:r>
            <w:r w:rsidR="00A32A92">
              <w:rPr>
                <w:noProof/>
                <w:webHidden/>
              </w:rPr>
            </w:r>
            <w:r w:rsidR="00A32A92">
              <w:rPr>
                <w:noProof/>
                <w:webHidden/>
              </w:rPr>
              <w:fldChar w:fldCharType="separate"/>
            </w:r>
            <w:r w:rsidR="00A32A92">
              <w:rPr>
                <w:noProof/>
                <w:webHidden/>
              </w:rPr>
              <w:t>12</w:t>
            </w:r>
            <w:r w:rsidR="00A32A92">
              <w:rPr>
                <w:noProof/>
                <w:webHidden/>
              </w:rPr>
              <w:fldChar w:fldCharType="end"/>
            </w:r>
          </w:hyperlink>
        </w:p>
        <w:p w14:paraId="767F4215" w14:textId="49D46AD2" w:rsidR="00A32A92" w:rsidRDefault="00A32A92" w:rsidP="00A32A92">
          <w:r>
            <w:rPr>
              <w:b/>
              <w:bCs/>
            </w:rPr>
            <w:fldChar w:fldCharType="end"/>
          </w:r>
        </w:p>
      </w:sdtContent>
    </w:sdt>
    <w:p w14:paraId="0B17072F" w14:textId="77777777" w:rsidR="00A32A92" w:rsidRPr="00F66D45" w:rsidRDefault="00A32A92" w:rsidP="00A32A92">
      <w:pPr>
        <w:rPr>
          <w:rFonts w:eastAsia="Arial"/>
          <w:lang w:eastAsia="en-US"/>
        </w:rPr>
      </w:pPr>
    </w:p>
    <w:p w14:paraId="0D7B4AC1" w14:textId="77777777" w:rsidR="00A32A92" w:rsidRDefault="00A32A92" w:rsidP="00A32A92">
      <w:pPr>
        <w:rPr>
          <w:rFonts w:eastAsia="Arial"/>
          <w:b/>
          <w:kern w:val="28"/>
          <w:sz w:val="28"/>
        </w:rPr>
      </w:pPr>
      <w:r>
        <w:rPr>
          <w:rFonts w:eastAsia="Arial"/>
        </w:rPr>
        <w:br w:type="page"/>
      </w:r>
    </w:p>
    <w:p w14:paraId="4DEF75D3" w14:textId="77777777" w:rsidR="00A32A92" w:rsidRPr="00A32A92" w:rsidRDefault="00A32A92" w:rsidP="00A32A92">
      <w:pPr>
        <w:pStyle w:val="Otsikko10"/>
        <w:rPr>
          <w:rFonts w:ascii="Trebuchet MS" w:eastAsia="Arial" w:hAnsi="Trebuchet MS"/>
          <w:color w:val="auto"/>
        </w:rPr>
      </w:pPr>
      <w:bookmarkStart w:id="1" w:name="_Toc187227189"/>
      <w:r w:rsidRPr="00A32A92">
        <w:rPr>
          <w:rFonts w:ascii="Trebuchet MS" w:eastAsia="Arial" w:hAnsi="Trebuchet MS"/>
          <w:color w:val="auto"/>
        </w:rPr>
        <w:lastRenderedPageBreak/>
        <w:t>1. Toiminnan laajuus</w:t>
      </w:r>
      <w:bookmarkEnd w:id="1"/>
    </w:p>
    <w:p w14:paraId="768803D4" w14:textId="34371395" w:rsidR="00A32A92" w:rsidRPr="00760DC7" w:rsidRDefault="00A32A92" w:rsidP="00A32A92">
      <w:pPr>
        <w:spacing w:after="160" w:line="259" w:lineRule="auto"/>
        <w:jc w:val="both"/>
        <w:rPr>
          <w:rFonts w:eastAsia="Arial" w:cstheme="majorBidi"/>
          <w:lang w:eastAsia="en-US"/>
        </w:rPr>
      </w:pPr>
      <w:r>
        <w:rPr>
          <w:rFonts w:eastAsia="Arial" w:cstheme="majorBidi"/>
          <w:lang w:eastAsia="en-US"/>
        </w:rPr>
        <w:t>Toimintaa</w:t>
      </w:r>
      <w:r w:rsidRPr="00760DC7">
        <w:rPr>
          <w:rFonts w:eastAsia="Arial" w:cstheme="majorBidi"/>
          <w:lang w:eastAsia="en-US"/>
        </w:rPr>
        <w:t xml:space="preserve"> turvallisuusluvan aluee</w:t>
      </w:r>
      <w:r>
        <w:rPr>
          <w:rFonts w:eastAsia="Arial" w:cstheme="majorBidi"/>
          <w:lang w:eastAsia="en-US"/>
        </w:rPr>
        <w:t>lla on yhdessä yliopistollisessa sairaalassa (Oys)</w:t>
      </w:r>
      <w:r w:rsidRPr="00760DC7">
        <w:rPr>
          <w:rFonts w:eastAsia="Arial" w:cstheme="majorBidi"/>
          <w:lang w:eastAsia="en-US"/>
        </w:rPr>
        <w:t xml:space="preserve"> ja </w:t>
      </w:r>
      <w:r>
        <w:rPr>
          <w:rFonts w:eastAsia="Arial" w:cstheme="majorBidi"/>
          <w:lang w:eastAsia="en-US"/>
        </w:rPr>
        <w:t>kahdessa aluesairaalassa sekä 1</w:t>
      </w:r>
      <w:r w:rsidR="004A1B4C">
        <w:rPr>
          <w:rFonts w:eastAsia="Arial" w:cstheme="majorBidi"/>
          <w:lang w:eastAsia="en-US"/>
        </w:rPr>
        <w:t>2</w:t>
      </w:r>
      <w:r>
        <w:rPr>
          <w:rFonts w:eastAsia="Arial" w:cstheme="majorBidi"/>
          <w:lang w:eastAsia="en-US"/>
        </w:rPr>
        <w:t xml:space="preserve"> terveyskeskuskuvantamisyksikössä. Pohjois-Pohjanmaan hyvinvointialueen k</w:t>
      </w:r>
      <w:r w:rsidRPr="00760DC7">
        <w:rPr>
          <w:rFonts w:eastAsia="Arial" w:cstheme="majorBidi"/>
          <w:lang w:eastAsia="en-US"/>
        </w:rPr>
        <w:t xml:space="preserve">uvantamisen </w:t>
      </w:r>
      <w:r>
        <w:rPr>
          <w:rFonts w:eastAsia="Arial" w:cstheme="majorBidi"/>
          <w:lang w:eastAsia="en-US"/>
        </w:rPr>
        <w:t>vastuu</w:t>
      </w:r>
      <w:r w:rsidRPr="00760DC7">
        <w:rPr>
          <w:rFonts w:eastAsia="Arial" w:cstheme="majorBidi"/>
          <w:lang w:eastAsia="en-US"/>
        </w:rPr>
        <w:t>alueen röntgentoiminnan turvallisuuslupaan kuuluu useita kiinteitä ja liikuteltavia natiiviröntgenlaitteita, sekä kiinteitä tietokonetomografia-, mammografia-, angiografia-, ja lä</w:t>
      </w:r>
      <w:r>
        <w:rPr>
          <w:rFonts w:eastAsia="Arial" w:cstheme="majorBidi"/>
          <w:lang w:eastAsia="en-US"/>
        </w:rPr>
        <w:t xml:space="preserve">pivalaisulaitteita. Oysissa on käytössä kaikki edellä mainitut laiteet, Oulaskankaan, Raahen ja Kuusamon kuvantamisyksiköissä </w:t>
      </w:r>
      <w:r w:rsidRPr="00760DC7">
        <w:rPr>
          <w:rFonts w:eastAsia="Arial" w:cstheme="majorBidi"/>
          <w:lang w:eastAsia="en-US"/>
        </w:rPr>
        <w:t>on kiinteitä sekä liikut</w:t>
      </w:r>
      <w:r>
        <w:rPr>
          <w:rFonts w:eastAsia="Arial" w:cstheme="majorBidi"/>
          <w:lang w:eastAsia="en-US"/>
        </w:rPr>
        <w:t>eltavia natiiviröntgenlaitteita ja</w:t>
      </w:r>
      <w:r w:rsidRPr="00760DC7">
        <w:rPr>
          <w:rFonts w:eastAsia="Arial" w:cstheme="majorBidi"/>
          <w:lang w:eastAsia="en-US"/>
        </w:rPr>
        <w:t xml:space="preserve"> kiinteä tietokonetomografialaite</w:t>
      </w:r>
      <w:r>
        <w:rPr>
          <w:rFonts w:eastAsia="Arial" w:cstheme="majorBidi"/>
          <w:lang w:eastAsia="en-US"/>
        </w:rPr>
        <w:t xml:space="preserve"> sekä Raahessa, Kuusamossa ja Ylivieskassa mammografialaite</w:t>
      </w:r>
      <w:r w:rsidRPr="00760DC7">
        <w:rPr>
          <w:rFonts w:eastAsia="Arial" w:cstheme="majorBidi"/>
          <w:lang w:eastAsia="en-US"/>
        </w:rPr>
        <w:t xml:space="preserve">. </w:t>
      </w:r>
      <w:r>
        <w:rPr>
          <w:rFonts w:eastAsia="Arial" w:cstheme="majorBidi"/>
          <w:lang w:eastAsia="en-US"/>
        </w:rPr>
        <w:t xml:space="preserve">Kaikissa terveyskeskuskuvantamisyksikössä on kiinteä natiiviröntgenlaite ja pantomografialaite hammaskuvauksiin. </w:t>
      </w:r>
    </w:p>
    <w:p w14:paraId="5B07D699" w14:textId="42102C2B" w:rsidR="00A32A92" w:rsidRPr="00760DC7" w:rsidRDefault="00A32A92" w:rsidP="00A32A92">
      <w:pPr>
        <w:spacing w:after="160" w:line="259" w:lineRule="auto"/>
        <w:jc w:val="both"/>
        <w:rPr>
          <w:rFonts w:eastAsia="Arial" w:cstheme="majorBidi"/>
          <w:lang w:eastAsia="en-US"/>
        </w:rPr>
      </w:pPr>
      <w:r>
        <w:rPr>
          <w:rFonts w:eastAsia="Arial" w:cstheme="majorBidi"/>
          <w:lang w:eastAsia="en-US"/>
        </w:rPr>
        <w:t>T</w:t>
      </w:r>
      <w:r w:rsidRPr="00760DC7">
        <w:rPr>
          <w:rFonts w:eastAsia="Arial" w:cstheme="majorBidi"/>
          <w:lang w:eastAsia="en-US"/>
        </w:rPr>
        <w:t>urvallisuusluvan alaisessa toiminnassa</w:t>
      </w:r>
      <w:r>
        <w:rPr>
          <w:rFonts w:eastAsia="Arial" w:cstheme="majorBidi"/>
          <w:lang w:eastAsia="en-US"/>
        </w:rPr>
        <w:t xml:space="preserve"> vuonna 202</w:t>
      </w:r>
      <w:r w:rsidR="007A17E1">
        <w:rPr>
          <w:rFonts w:eastAsia="Arial" w:cstheme="majorBidi"/>
          <w:lang w:eastAsia="en-US"/>
        </w:rPr>
        <w:t>4</w:t>
      </w:r>
      <w:r w:rsidRPr="00760DC7">
        <w:rPr>
          <w:rFonts w:eastAsia="Arial" w:cstheme="majorBidi"/>
          <w:lang w:eastAsia="en-US"/>
        </w:rPr>
        <w:t xml:space="preserve"> teh</w:t>
      </w:r>
      <w:r>
        <w:rPr>
          <w:rFonts w:eastAsia="Arial" w:cstheme="majorBidi"/>
          <w:lang w:eastAsia="en-US"/>
        </w:rPr>
        <w:t>dyt tutkimukset ja toimenpiteet,</w:t>
      </w:r>
      <w:r w:rsidRPr="00760DC7">
        <w:rPr>
          <w:rFonts w:eastAsia="Arial" w:cstheme="majorBidi"/>
          <w:lang w:eastAsia="en-US"/>
        </w:rPr>
        <w:t xml:space="preserve"> jo</w:t>
      </w:r>
      <w:r>
        <w:rPr>
          <w:rFonts w:eastAsia="Arial" w:cstheme="majorBidi"/>
          <w:lang w:eastAsia="en-US"/>
        </w:rPr>
        <w:t>is</w:t>
      </w:r>
      <w:r w:rsidRPr="00760DC7">
        <w:rPr>
          <w:rFonts w:eastAsia="Arial" w:cstheme="majorBidi"/>
          <w:lang w:eastAsia="en-US"/>
        </w:rPr>
        <w:t>sa on hyödynnetty röntgensäteilyä</w:t>
      </w:r>
      <w:r>
        <w:rPr>
          <w:rFonts w:eastAsia="Arial" w:cstheme="majorBidi"/>
          <w:lang w:eastAsia="en-US"/>
        </w:rPr>
        <w:t xml:space="preserve"> näkyvät taulukossa 1</w:t>
      </w:r>
      <w:r w:rsidRPr="00760DC7">
        <w:rPr>
          <w:rFonts w:eastAsia="Arial" w:cstheme="majorBidi"/>
          <w:lang w:eastAsia="en-US"/>
        </w:rPr>
        <w:t xml:space="preserve">. </w:t>
      </w:r>
      <w:r>
        <w:rPr>
          <w:rFonts w:eastAsia="Arial" w:cstheme="majorBidi"/>
          <w:lang w:eastAsia="en-US"/>
        </w:rPr>
        <w:t>Pohteen k</w:t>
      </w:r>
      <w:r w:rsidRPr="00760DC7">
        <w:rPr>
          <w:rFonts w:eastAsia="Arial" w:cstheme="majorBidi"/>
          <w:lang w:eastAsia="en-US"/>
        </w:rPr>
        <w:t xml:space="preserve">uvantamisen </w:t>
      </w:r>
      <w:r>
        <w:rPr>
          <w:rFonts w:eastAsia="Arial" w:cstheme="majorBidi"/>
          <w:lang w:eastAsia="en-US"/>
        </w:rPr>
        <w:t>vastuu</w:t>
      </w:r>
      <w:r w:rsidRPr="00760DC7">
        <w:rPr>
          <w:rFonts w:eastAsia="Arial" w:cstheme="majorBidi"/>
          <w:lang w:eastAsia="en-US"/>
        </w:rPr>
        <w:t xml:space="preserve">alueen tutkimuksissa käytettyjen röntgenputkien energia-alue on </w:t>
      </w:r>
      <w:r w:rsidR="00F96B8E" w:rsidRPr="00760DC7">
        <w:rPr>
          <w:rFonts w:eastAsia="Arial" w:cstheme="majorBidi"/>
          <w:lang w:eastAsia="en-US"/>
        </w:rPr>
        <w:t>15–150</w:t>
      </w:r>
      <w:r w:rsidRPr="00760DC7">
        <w:rPr>
          <w:rFonts w:eastAsia="Arial" w:cstheme="majorBidi"/>
          <w:lang w:eastAsia="en-US"/>
        </w:rPr>
        <w:t xml:space="preserve"> keV. </w:t>
      </w:r>
    </w:p>
    <w:p w14:paraId="56C08BB7" w14:textId="3EEE8702" w:rsidR="00A32A92" w:rsidRPr="00760DC7" w:rsidRDefault="00A32A92" w:rsidP="00A32A92">
      <w:pPr>
        <w:spacing w:after="160" w:line="259" w:lineRule="auto"/>
        <w:jc w:val="both"/>
        <w:rPr>
          <w:rFonts w:eastAsia="Arial" w:cstheme="majorBidi"/>
          <w:lang w:eastAsia="en-US"/>
        </w:rPr>
      </w:pPr>
      <w:r w:rsidRPr="00760DC7">
        <w:rPr>
          <w:rFonts w:eastAsia="Arial" w:cstheme="majorBidi"/>
          <w:lang w:eastAsia="en-US"/>
        </w:rPr>
        <w:t>Taulukko 1. Säteilyt</w:t>
      </w:r>
      <w:r>
        <w:rPr>
          <w:rFonts w:eastAsia="Arial" w:cstheme="majorBidi"/>
          <w:lang w:eastAsia="en-US"/>
        </w:rPr>
        <w:t>utkimukset ja -toimenpiteet 202</w:t>
      </w:r>
      <w:r w:rsidR="00EC5CC9">
        <w:rPr>
          <w:rFonts w:eastAsia="Arial" w:cstheme="majorBidi"/>
          <w:lang w:eastAsia="en-US"/>
        </w:rPr>
        <w:t>4</w:t>
      </w:r>
      <w:r w:rsidRPr="00760DC7">
        <w:rPr>
          <w:rFonts w:eastAsia="Arial" w:cstheme="majorBidi"/>
          <w:lang w:eastAsia="en-US"/>
        </w:rPr>
        <w:t>.</w:t>
      </w:r>
    </w:p>
    <w:tbl>
      <w:tblPr>
        <w:tblW w:w="10091" w:type="dxa"/>
        <w:tblInd w:w="-10" w:type="dxa"/>
        <w:tblCellMar>
          <w:left w:w="70" w:type="dxa"/>
          <w:right w:w="70" w:type="dxa"/>
        </w:tblCellMar>
        <w:tblLook w:val="04A0" w:firstRow="1" w:lastRow="0" w:firstColumn="1" w:lastColumn="0" w:noHBand="0" w:noVBand="1"/>
      </w:tblPr>
      <w:tblGrid>
        <w:gridCol w:w="1126"/>
        <w:gridCol w:w="1126"/>
        <w:gridCol w:w="1126"/>
        <w:gridCol w:w="1126"/>
        <w:gridCol w:w="476"/>
        <w:gridCol w:w="1733"/>
        <w:gridCol w:w="1126"/>
        <w:gridCol w:w="1126"/>
        <w:gridCol w:w="1126"/>
      </w:tblGrid>
      <w:tr w:rsidR="00A32A92" w:rsidRPr="00933FBC" w14:paraId="7C850CD9" w14:textId="77777777" w:rsidTr="008B4EAF">
        <w:trPr>
          <w:trHeight w:val="284"/>
        </w:trPr>
        <w:tc>
          <w:tcPr>
            <w:tcW w:w="1126" w:type="dxa"/>
            <w:vMerge w:val="restart"/>
            <w:tcBorders>
              <w:top w:val="single" w:sz="8" w:space="0" w:color="auto"/>
              <w:left w:val="single" w:sz="8" w:space="0" w:color="auto"/>
              <w:bottom w:val="nil"/>
              <w:right w:val="single" w:sz="8" w:space="0" w:color="93B1CD"/>
            </w:tcBorders>
            <w:shd w:val="clear" w:color="auto" w:fill="auto"/>
            <w:noWrap/>
            <w:vAlign w:val="center"/>
            <w:hideMark/>
          </w:tcPr>
          <w:p w14:paraId="33BCC70B" w14:textId="77777777" w:rsidR="00A32A92" w:rsidRPr="00933FBC" w:rsidRDefault="00A32A92" w:rsidP="008B4EAF">
            <w:pPr>
              <w:jc w:val="both"/>
              <w:rPr>
                <w:rFonts w:cs="Tahoma"/>
                <w:b/>
                <w:bCs/>
                <w:color w:val="000000"/>
                <w:sz w:val="18"/>
                <w:szCs w:val="18"/>
              </w:rPr>
            </w:pPr>
            <w:bookmarkStart w:id="2" w:name="_Hlk187227682"/>
            <w:r w:rsidRPr="00933FBC">
              <w:rPr>
                <w:rFonts w:cs="Tahoma"/>
                <w:b/>
                <w:bCs/>
                <w:color w:val="000000"/>
                <w:sz w:val="18"/>
                <w:szCs w:val="18"/>
              </w:rPr>
              <w:t>Tutkimus</w:t>
            </w:r>
          </w:p>
        </w:tc>
        <w:tc>
          <w:tcPr>
            <w:tcW w:w="1126" w:type="dxa"/>
            <w:tcBorders>
              <w:top w:val="single" w:sz="8" w:space="0" w:color="auto"/>
              <w:left w:val="nil"/>
              <w:bottom w:val="single" w:sz="8" w:space="0" w:color="93B1CD"/>
              <w:right w:val="single" w:sz="8" w:space="0" w:color="93B1CD"/>
            </w:tcBorders>
            <w:shd w:val="clear" w:color="000000" w:fill="BFD2E2"/>
            <w:noWrap/>
            <w:vAlign w:val="center"/>
            <w:hideMark/>
          </w:tcPr>
          <w:p w14:paraId="6C2CC97C" w14:textId="77777777" w:rsidR="00A32A92" w:rsidRPr="00933FBC" w:rsidRDefault="00A32A92" w:rsidP="008B4EAF">
            <w:pPr>
              <w:jc w:val="both"/>
              <w:rPr>
                <w:rFonts w:cs="Tahoma"/>
                <w:color w:val="000000"/>
                <w:sz w:val="16"/>
                <w:szCs w:val="16"/>
              </w:rPr>
            </w:pPr>
            <w:r w:rsidRPr="00933FBC">
              <w:rPr>
                <w:rFonts w:cs="Tahoma"/>
                <w:color w:val="000000"/>
                <w:sz w:val="16"/>
                <w:szCs w:val="16"/>
              </w:rPr>
              <w:t>Normaali</w:t>
            </w:r>
          </w:p>
        </w:tc>
        <w:tc>
          <w:tcPr>
            <w:tcW w:w="1126" w:type="dxa"/>
            <w:tcBorders>
              <w:top w:val="single" w:sz="8" w:space="0" w:color="auto"/>
              <w:left w:val="nil"/>
              <w:bottom w:val="single" w:sz="8" w:space="0" w:color="93B1CD"/>
              <w:right w:val="single" w:sz="8" w:space="0" w:color="93B1CD"/>
            </w:tcBorders>
            <w:shd w:val="clear" w:color="000000" w:fill="BFD2E2"/>
            <w:noWrap/>
            <w:vAlign w:val="center"/>
            <w:hideMark/>
          </w:tcPr>
          <w:p w14:paraId="0D3A87BF" w14:textId="77777777" w:rsidR="00A32A92" w:rsidRPr="00933FBC" w:rsidRDefault="00A32A92" w:rsidP="008B4EAF">
            <w:pPr>
              <w:jc w:val="both"/>
              <w:rPr>
                <w:rFonts w:cs="Tahoma"/>
                <w:color w:val="000000"/>
                <w:sz w:val="16"/>
                <w:szCs w:val="16"/>
              </w:rPr>
            </w:pPr>
            <w:r w:rsidRPr="00933FBC">
              <w:rPr>
                <w:rFonts w:cs="Tahoma"/>
                <w:color w:val="000000"/>
                <w:sz w:val="16"/>
                <w:szCs w:val="16"/>
              </w:rPr>
              <w:t>Päivystys</w:t>
            </w:r>
          </w:p>
        </w:tc>
        <w:tc>
          <w:tcPr>
            <w:tcW w:w="1126" w:type="dxa"/>
            <w:tcBorders>
              <w:top w:val="single" w:sz="8" w:space="0" w:color="auto"/>
              <w:left w:val="nil"/>
              <w:bottom w:val="single" w:sz="8" w:space="0" w:color="93B1CD"/>
              <w:right w:val="single" w:sz="8" w:space="0" w:color="auto"/>
            </w:tcBorders>
            <w:shd w:val="clear" w:color="000000" w:fill="DFDFDF"/>
            <w:noWrap/>
            <w:vAlign w:val="center"/>
            <w:hideMark/>
          </w:tcPr>
          <w:p w14:paraId="19765ADE"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 xml:space="preserve">Yhteensä </w:t>
            </w:r>
          </w:p>
        </w:tc>
        <w:tc>
          <w:tcPr>
            <w:tcW w:w="476" w:type="dxa"/>
            <w:tcBorders>
              <w:top w:val="nil"/>
              <w:left w:val="nil"/>
              <w:bottom w:val="nil"/>
              <w:right w:val="nil"/>
            </w:tcBorders>
            <w:shd w:val="clear" w:color="auto" w:fill="auto"/>
            <w:noWrap/>
            <w:vAlign w:val="bottom"/>
            <w:hideMark/>
          </w:tcPr>
          <w:p w14:paraId="6C88BE21" w14:textId="77777777" w:rsidR="00A32A92" w:rsidRPr="00933FBC" w:rsidRDefault="00A32A92" w:rsidP="008B4EAF">
            <w:pPr>
              <w:jc w:val="both"/>
              <w:rPr>
                <w:rFonts w:cs="Tahoma"/>
                <w:b/>
                <w:bCs/>
                <w:color w:val="000000"/>
                <w:sz w:val="16"/>
                <w:szCs w:val="16"/>
              </w:rPr>
            </w:pPr>
          </w:p>
        </w:tc>
        <w:tc>
          <w:tcPr>
            <w:tcW w:w="1733" w:type="dxa"/>
            <w:vMerge w:val="restart"/>
            <w:tcBorders>
              <w:top w:val="single" w:sz="8" w:space="0" w:color="auto"/>
              <w:left w:val="single" w:sz="8" w:space="0" w:color="auto"/>
              <w:bottom w:val="single" w:sz="8" w:space="0" w:color="93B1CD"/>
              <w:right w:val="single" w:sz="8" w:space="0" w:color="93B1CD"/>
            </w:tcBorders>
            <w:shd w:val="clear" w:color="auto" w:fill="auto"/>
            <w:noWrap/>
            <w:vAlign w:val="center"/>
            <w:hideMark/>
          </w:tcPr>
          <w:p w14:paraId="54F2DCC4" w14:textId="77777777" w:rsidR="00A32A92" w:rsidRPr="00933FBC" w:rsidRDefault="00A32A92" w:rsidP="008B4EAF">
            <w:pPr>
              <w:jc w:val="both"/>
              <w:rPr>
                <w:rFonts w:cs="Tahoma"/>
                <w:b/>
                <w:bCs/>
                <w:color w:val="000000"/>
                <w:sz w:val="18"/>
                <w:szCs w:val="18"/>
              </w:rPr>
            </w:pPr>
            <w:r w:rsidRPr="00933FBC">
              <w:rPr>
                <w:rFonts w:cs="Tahoma"/>
                <w:b/>
                <w:bCs/>
                <w:color w:val="000000"/>
                <w:sz w:val="18"/>
                <w:szCs w:val="18"/>
              </w:rPr>
              <w:t>Toimenpide</w:t>
            </w:r>
          </w:p>
        </w:tc>
        <w:tc>
          <w:tcPr>
            <w:tcW w:w="1126" w:type="dxa"/>
            <w:tcBorders>
              <w:top w:val="single" w:sz="8" w:space="0" w:color="auto"/>
              <w:left w:val="nil"/>
              <w:bottom w:val="single" w:sz="8" w:space="0" w:color="93B1CD"/>
              <w:right w:val="single" w:sz="8" w:space="0" w:color="93B1CD"/>
            </w:tcBorders>
            <w:shd w:val="clear" w:color="000000" w:fill="BFD2E2"/>
            <w:noWrap/>
            <w:vAlign w:val="center"/>
            <w:hideMark/>
          </w:tcPr>
          <w:p w14:paraId="040C30E3" w14:textId="77777777" w:rsidR="00A32A92" w:rsidRPr="00933FBC" w:rsidRDefault="00A32A92" w:rsidP="008B4EAF">
            <w:pPr>
              <w:jc w:val="both"/>
              <w:rPr>
                <w:rFonts w:cs="Tahoma"/>
                <w:color w:val="000000"/>
                <w:sz w:val="16"/>
                <w:szCs w:val="16"/>
              </w:rPr>
            </w:pPr>
            <w:r w:rsidRPr="00933FBC">
              <w:rPr>
                <w:rFonts w:cs="Tahoma"/>
                <w:color w:val="000000"/>
                <w:sz w:val="16"/>
                <w:szCs w:val="16"/>
              </w:rPr>
              <w:t>Normaali</w:t>
            </w:r>
          </w:p>
        </w:tc>
        <w:tc>
          <w:tcPr>
            <w:tcW w:w="1126" w:type="dxa"/>
            <w:tcBorders>
              <w:top w:val="single" w:sz="8" w:space="0" w:color="auto"/>
              <w:left w:val="nil"/>
              <w:bottom w:val="single" w:sz="8" w:space="0" w:color="93B1CD"/>
              <w:right w:val="single" w:sz="8" w:space="0" w:color="93B1CD"/>
            </w:tcBorders>
            <w:shd w:val="clear" w:color="000000" w:fill="BFD2E2"/>
            <w:noWrap/>
            <w:vAlign w:val="center"/>
            <w:hideMark/>
          </w:tcPr>
          <w:p w14:paraId="62BC143C" w14:textId="77777777" w:rsidR="00A32A92" w:rsidRPr="00933FBC" w:rsidRDefault="00A32A92" w:rsidP="008B4EAF">
            <w:pPr>
              <w:jc w:val="both"/>
              <w:rPr>
                <w:rFonts w:cs="Tahoma"/>
                <w:color w:val="000000"/>
                <w:sz w:val="16"/>
                <w:szCs w:val="16"/>
              </w:rPr>
            </w:pPr>
            <w:r w:rsidRPr="00933FBC">
              <w:rPr>
                <w:rFonts w:cs="Tahoma"/>
                <w:color w:val="000000"/>
                <w:sz w:val="16"/>
                <w:szCs w:val="16"/>
              </w:rPr>
              <w:t>Päivystys</w:t>
            </w:r>
          </w:p>
        </w:tc>
        <w:tc>
          <w:tcPr>
            <w:tcW w:w="1126" w:type="dxa"/>
            <w:tcBorders>
              <w:top w:val="single" w:sz="8" w:space="0" w:color="auto"/>
              <w:left w:val="nil"/>
              <w:bottom w:val="single" w:sz="8" w:space="0" w:color="93B1CD"/>
              <w:right w:val="single" w:sz="8" w:space="0" w:color="auto"/>
            </w:tcBorders>
            <w:shd w:val="clear" w:color="000000" w:fill="DFDFDF"/>
            <w:noWrap/>
            <w:vAlign w:val="center"/>
            <w:hideMark/>
          </w:tcPr>
          <w:p w14:paraId="64611C3C"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Yhteensä</w:t>
            </w:r>
          </w:p>
        </w:tc>
      </w:tr>
      <w:tr w:rsidR="00A32A92" w:rsidRPr="00933FBC" w14:paraId="5E042A2F" w14:textId="77777777" w:rsidTr="008B4EAF">
        <w:trPr>
          <w:trHeight w:val="284"/>
        </w:trPr>
        <w:tc>
          <w:tcPr>
            <w:tcW w:w="1126" w:type="dxa"/>
            <w:vMerge/>
            <w:tcBorders>
              <w:top w:val="single" w:sz="8" w:space="0" w:color="auto"/>
              <w:left w:val="single" w:sz="8" w:space="0" w:color="auto"/>
              <w:bottom w:val="nil"/>
              <w:right w:val="single" w:sz="8" w:space="0" w:color="93B1CD"/>
            </w:tcBorders>
            <w:vAlign w:val="center"/>
            <w:hideMark/>
          </w:tcPr>
          <w:p w14:paraId="174AE5FB" w14:textId="77777777" w:rsidR="00A32A92" w:rsidRPr="00933FBC" w:rsidRDefault="00A32A92" w:rsidP="008B4EAF">
            <w:pPr>
              <w:rPr>
                <w:rFonts w:cs="Tahoma"/>
                <w:b/>
                <w:bCs/>
                <w:color w:val="000000"/>
                <w:sz w:val="18"/>
                <w:szCs w:val="18"/>
              </w:rPr>
            </w:pPr>
          </w:p>
        </w:tc>
        <w:tc>
          <w:tcPr>
            <w:tcW w:w="1126" w:type="dxa"/>
            <w:tcBorders>
              <w:top w:val="nil"/>
              <w:left w:val="nil"/>
              <w:bottom w:val="single" w:sz="8" w:space="0" w:color="93B1CD"/>
              <w:right w:val="single" w:sz="8" w:space="0" w:color="93B1CD"/>
            </w:tcBorders>
            <w:shd w:val="clear" w:color="000000" w:fill="BFD2E2"/>
            <w:noWrap/>
            <w:vAlign w:val="center"/>
            <w:hideMark/>
          </w:tcPr>
          <w:p w14:paraId="2F659F7B" w14:textId="77777777" w:rsidR="00A32A92" w:rsidRPr="00933FBC" w:rsidRDefault="00A32A92" w:rsidP="008B4EAF">
            <w:pPr>
              <w:jc w:val="both"/>
              <w:rPr>
                <w:rFonts w:cs="Tahoma"/>
                <w:color w:val="000000"/>
                <w:sz w:val="16"/>
                <w:szCs w:val="16"/>
              </w:rPr>
            </w:pPr>
            <w:r w:rsidRPr="00933FBC">
              <w:rPr>
                <w:rFonts w:cs="Tahoma"/>
                <w:color w:val="000000"/>
                <w:sz w:val="16"/>
                <w:szCs w:val="16"/>
              </w:rPr>
              <w:t>kpl</w:t>
            </w:r>
          </w:p>
        </w:tc>
        <w:tc>
          <w:tcPr>
            <w:tcW w:w="1126" w:type="dxa"/>
            <w:tcBorders>
              <w:top w:val="nil"/>
              <w:left w:val="nil"/>
              <w:bottom w:val="single" w:sz="8" w:space="0" w:color="93B1CD"/>
              <w:right w:val="single" w:sz="8" w:space="0" w:color="93B1CD"/>
            </w:tcBorders>
            <w:shd w:val="clear" w:color="000000" w:fill="BFD2E2"/>
            <w:noWrap/>
            <w:vAlign w:val="center"/>
            <w:hideMark/>
          </w:tcPr>
          <w:p w14:paraId="68A40E98" w14:textId="77777777" w:rsidR="00A32A92" w:rsidRPr="00933FBC" w:rsidRDefault="00A32A92" w:rsidP="008B4EAF">
            <w:pPr>
              <w:jc w:val="both"/>
              <w:rPr>
                <w:rFonts w:cs="Tahoma"/>
                <w:color w:val="000000"/>
                <w:sz w:val="16"/>
                <w:szCs w:val="16"/>
              </w:rPr>
            </w:pPr>
            <w:r w:rsidRPr="00933FBC">
              <w:rPr>
                <w:rFonts w:cs="Tahoma"/>
                <w:color w:val="000000"/>
                <w:sz w:val="16"/>
                <w:szCs w:val="16"/>
              </w:rPr>
              <w:t>kpl</w:t>
            </w:r>
          </w:p>
        </w:tc>
        <w:tc>
          <w:tcPr>
            <w:tcW w:w="1126" w:type="dxa"/>
            <w:tcBorders>
              <w:top w:val="nil"/>
              <w:left w:val="nil"/>
              <w:bottom w:val="single" w:sz="8" w:space="0" w:color="93B1CD"/>
              <w:right w:val="single" w:sz="8" w:space="0" w:color="auto"/>
            </w:tcBorders>
            <w:shd w:val="clear" w:color="000000" w:fill="DFDFDF"/>
            <w:noWrap/>
            <w:vAlign w:val="center"/>
            <w:hideMark/>
          </w:tcPr>
          <w:p w14:paraId="78D0C00C"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kpl</w:t>
            </w:r>
          </w:p>
        </w:tc>
        <w:tc>
          <w:tcPr>
            <w:tcW w:w="476" w:type="dxa"/>
            <w:tcBorders>
              <w:top w:val="nil"/>
              <w:left w:val="nil"/>
              <w:bottom w:val="nil"/>
              <w:right w:val="nil"/>
            </w:tcBorders>
            <w:shd w:val="clear" w:color="auto" w:fill="auto"/>
            <w:noWrap/>
            <w:vAlign w:val="bottom"/>
            <w:hideMark/>
          </w:tcPr>
          <w:p w14:paraId="7B647C99" w14:textId="77777777" w:rsidR="00A32A92" w:rsidRPr="00933FBC" w:rsidRDefault="00A32A92" w:rsidP="008B4EAF">
            <w:pPr>
              <w:jc w:val="both"/>
              <w:rPr>
                <w:rFonts w:cs="Tahoma"/>
                <w:b/>
                <w:bCs/>
                <w:color w:val="000000"/>
                <w:sz w:val="16"/>
                <w:szCs w:val="16"/>
              </w:rPr>
            </w:pPr>
          </w:p>
        </w:tc>
        <w:tc>
          <w:tcPr>
            <w:tcW w:w="1733" w:type="dxa"/>
            <w:vMerge/>
            <w:tcBorders>
              <w:top w:val="single" w:sz="8" w:space="0" w:color="auto"/>
              <w:left w:val="single" w:sz="8" w:space="0" w:color="auto"/>
              <w:bottom w:val="single" w:sz="8" w:space="0" w:color="93B1CD"/>
              <w:right w:val="single" w:sz="8" w:space="0" w:color="93B1CD"/>
            </w:tcBorders>
            <w:vAlign w:val="center"/>
            <w:hideMark/>
          </w:tcPr>
          <w:p w14:paraId="590CFDAE" w14:textId="77777777" w:rsidR="00A32A92" w:rsidRPr="00933FBC" w:rsidRDefault="00A32A92" w:rsidP="008B4EAF">
            <w:pPr>
              <w:rPr>
                <w:rFonts w:cs="Tahoma"/>
                <w:b/>
                <w:bCs/>
                <w:color w:val="000000"/>
                <w:sz w:val="18"/>
                <w:szCs w:val="18"/>
              </w:rPr>
            </w:pPr>
          </w:p>
        </w:tc>
        <w:tc>
          <w:tcPr>
            <w:tcW w:w="1126" w:type="dxa"/>
            <w:tcBorders>
              <w:top w:val="nil"/>
              <w:left w:val="nil"/>
              <w:bottom w:val="single" w:sz="8" w:space="0" w:color="93B1CD"/>
              <w:right w:val="single" w:sz="8" w:space="0" w:color="93B1CD"/>
            </w:tcBorders>
            <w:shd w:val="clear" w:color="000000" w:fill="BFD2E2"/>
            <w:noWrap/>
            <w:vAlign w:val="center"/>
            <w:hideMark/>
          </w:tcPr>
          <w:p w14:paraId="626CDF0A" w14:textId="77777777" w:rsidR="00A32A92" w:rsidRPr="00933FBC" w:rsidRDefault="00A32A92" w:rsidP="008B4EAF">
            <w:pPr>
              <w:jc w:val="both"/>
              <w:rPr>
                <w:rFonts w:cs="Tahoma"/>
                <w:color w:val="000000"/>
                <w:sz w:val="16"/>
                <w:szCs w:val="16"/>
              </w:rPr>
            </w:pPr>
            <w:r w:rsidRPr="00933FBC">
              <w:rPr>
                <w:rFonts w:cs="Tahoma"/>
                <w:color w:val="000000"/>
                <w:sz w:val="16"/>
                <w:szCs w:val="16"/>
              </w:rPr>
              <w:t>kpl</w:t>
            </w:r>
          </w:p>
        </w:tc>
        <w:tc>
          <w:tcPr>
            <w:tcW w:w="1126" w:type="dxa"/>
            <w:tcBorders>
              <w:top w:val="nil"/>
              <w:left w:val="nil"/>
              <w:bottom w:val="single" w:sz="8" w:space="0" w:color="93B1CD"/>
              <w:right w:val="single" w:sz="8" w:space="0" w:color="93B1CD"/>
            </w:tcBorders>
            <w:shd w:val="clear" w:color="000000" w:fill="BFD2E2"/>
            <w:noWrap/>
            <w:vAlign w:val="center"/>
            <w:hideMark/>
          </w:tcPr>
          <w:p w14:paraId="05B572E1" w14:textId="77777777" w:rsidR="00A32A92" w:rsidRPr="00933FBC" w:rsidRDefault="00A32A92" w:rsidP="008B4EAF">
            <w:pPr>
              <w:jc w:val="both"/>
              <w:rPr>
                <w:rFonts w:cs="Tahoma"/>
                <w:color w:val="000000"/>
                <w:sz w:val="16"/>
                <w:szCs w:val="16"/>
              </w:rPr>
            </w:pPr>
            <w:r w:rsidRPr="00933FBC">
              <w:rPr>
                <w:rFonts w:cs="Tahoma"/>
                <w:color w:val="000000"/>
                <w:sz w:val="16"/>
                <w:szCs w:val="16"/>
              </w:rPr>
              <w:t>kpl</w:t>
            </w:r>
          </w:p>
        </w:tc>
        <w:tc>
          <w:tcPr>
            <w:tcW w:w="1126" w:type="dxa"/>
            <w:tcBorders>
              <w:top w:val="nil"/>
              <w:left w:val="nil"/>
              <w:bottom w:val="single" w:sz="8" w:space="0" w:color="93B1CD"/>
              <w:right w:val="single" w:sz="8" w:space="0" w:color="auto"/>
            </w:tcBorders>
            <w:shd w:val="clear" w:color="000000" w:fill="DFDFDF"/>
            <w:noWrap/>
            <w:vAlign w:val="center"/>
            <w:hideMark/>
          </w:tcPr>
          <w:p w14:paraId="1D04D8F7"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kpl</w:t>
            </w:r>
          </w:p>
        </w:tc>
      </w:tr>
      <w:tr w:rsidR="00A32A92" w:rsidRPr="00933FBC" w14:paraId="0D31AB2B" w14:textId="77777777" w:rsidTr="008B4EAF">
        <w:trPr>
          <w:trHeight w:val="340"/>
        </w:trPr>
        <w:tc>
          <w:tcPr>
            <w:tcW w:w="1126" w:type="dxa"/>
            <w:tcBorders>
              <w:top w:val="nil"/>
              <w:left w:val="single" w:sz="8" w:space="0" w:color="auto"/>
              <w:bottom w:val="single" w:sz="8" w:space="0" w:color="93B1CD"/>
              <w:right w:val="single" w:sz="8" w:space="0" w:color="93B1CD"/>
            </w:tcBorders>
            <w:shd w:val="clear" w:color="000000" w:fill="BFD2E2"/>
            <w:noWrap/>
            <w:vAlign w:val="center"/>
            <w:hideMark/>
          </w:tcPr>
          <w:p w14:paraId="60D33E97" w14:textId="77777777" w:rsidR="00A32A92" w:rsidRPr="00933FBC" w:rsidRDefault="00A32A92" w:rsidP="008B4EAF">
            <w:pPr>
              <w:jc w:val="both"/>
              <w:rPr>
                <w:rFonts w:cs="Tahoma"/>
                <w:color w:val="000000"/>
                <w:sz w:val="16"/>
                <w:szCs w:val="16"/>
              </w:rPr>
            </w:pPr>
            <w:r w:rsidRPr="00933FBC">
              <w:rPr>
                <w:rFonts w:cs="Tahoma"/>
                <w:color w:val="000000"/>
                <w:sz w:val="16"/>
                <w:szCs w:val="16"/>
              </w:rPr>
              <w:t>KKTT</w:t>
            </w:r>
          </w:p>
        </w:tc>
        <w:tc>
          <w:tcPr>
            <w:tcW w:w="1126" w:type="dxa"/>
            <w:tcBorders>
              <w:top w:val="nil"/>
              <w:left w:val="nil"/>
              <w:bottom w:val="single" w:sz="8" w:space="0" w:color="A2C4E0"/>
              <w:right w:val="single" w:sz="8" w:space="0" w:color="A2C4E0"/>
            </w:tcBorders>
            <w:shd w:val="clear" w:color="auto" w:fill="auto"/>
            <w:noWrap/>
            <w:vAlign w:val="center"/>
            <w:hideMark/>
          </w:tcPr>
          <w:p w14:paraId="231507D1"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1 936</w:t>
            </w:r>
          </w:p>
        </w:tc>
        <w:tc>
          <w:tcPr>
            <w:tcW w:w="1126" w:type="dxa"/>
            <w:tcBorders>
              <w:top w:val="nil"/>
              <w:left w:val="nil"/>
              <w:bottom w:val="single" w:sz="8" w:space="0" w:color="A2C4E0"/>
              <w:right w:val="single" w:sz="8" w:space="0" w:color="A2C4E0"/>
            </w:tcBorders>
            <w:shd w:val="clear" w:color="auto" w:fill="auto"/>
            <w:noWrap/>
            <w:vAlign w:val="center"/>
            <w:hideMark/>
          </w:tcPr>
          <w:p w14:paraId="78D9920C"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480</w:t>
            </w:r>
          </w:p>
        </w:tc>
        <w:tc>
          <w:tcPr>
            <w:tcW w:w="1126" w:type="dxa"/>
            <w:tcBorders>
              <w:top w:val="nil"/>
              <w:left w:val="nil"/>
              <w:bottom w:val="single" w:sz="8" w:space="0" w:color="A2C4E0"/>
              <w:right w:val="single" w:sz="8" w:space="0" w:color="auto"/>
            </w:tcBorders>
            <w:shd w:val="clear" w:color="000000" w:fill="F2F1F1"/>
            <w:noWrap/>
            <w:vAlign w:val="center"/>
            <w:hideMark/>
          </w:tcPr>
          <w:p w14:paraId="4DC4CE3E"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2 416</w:t>
            </w:r>
          </w:p>
        </w:tc>
        <w:tc>
          <w:tcPr>
            <w:tcW w:w="476" w:type="dxa"/>
            <w:tcBorders>
              <w:top w:val="nil"/>
              <w:left w:val="nil"/>
              <w:bottom w:val="nil"/>
              <w:right w:val="nil"/>
            </w:tcBorders>
            <w:shd w:val="clear" w:color="auto" w:fill="auto"/>
            <w:noWrap/>
            <w:vAlign w:val="bottom"/>
            <w:hideMark/>
          </w:tcPr>
          <w:p w14:paraId="12291258" w14:textId="77777777" w:rsidR="00A32A92" w:rsidRPr="00933FBC" w:rsidRDefault="00A32A92" w:rsidP="008B4EAF">
            <w:pPr>
              <w:jc w:val="both"/>
              <w:rPr>
                <w:rFonts w:cs="Tahoma"/>
                <w:b/>
                <w:bCs/>
                <w:color w:val="000000"/>
                <w:sz w:val="16"/>
                <w:szCs w:val="16"/>
              </w:rPr>
            </w:pPr>
          </w:p>
        </w:tc>
        <w:tc>
          <w:tcPr>
            <w:tcW w:w="1733" w:type="dxa"/>
            <w:tcBorders>
              <w:top w:val="nil"/>
              <w:left w:val="single" w:sz="8" w:space="0" w:color="auto"/>
              <w:bottom w:val="single" w:sz="8" w:space="0" w:color="93B1CD"/>
              <w:right w:val="single" w:sz="8" w:space="0" w:color="93B1CD"/>
            </w:tcBorders>
            <w:shd w:val="clear" w:color="000000" w:fill="BFD2E2"/>
            <w:noWrap/>
            <w:vAlign w:val="center"/>
            <w:hideMark/>
          </w:tcPr>
          <w:p w14:paraId="4CB16A13" w14:textId="77777777" w:rsidR="00A32A92" w:rsidRPr="00933FBC" w:rsidRDefault="00A32A92" w:rsidP="008B4EAF">
            <w:pPr>
              <w:jc w:val="both"/>
              <w:rPr>
                <w:rFonts w:cs="Tahoma"/>
                <w:color w:val="000000"/>
                <w:sz w:val="16"/>
                <w:szCs w:val="16"/>
              </w:rPr>
            </w:pPr>
            <w:r w:rsidRPr="00933FBC">
              <w:rPr>
                <w:rFonts w:cs="Tahoma"/>
                <w:color w:val="000000"/>
                <w:sz w:val="16"/>
                <w:szCs w:val="16"/>
              </w:rPr>
              <w:t>Angio tmp</w:t>
            </w:r>
          </w:p>
        </w:tc>
        <w:tc>
          <w:tcPr>
            <w:tcW w:w="1126" w:type="dxa"/>
            <w:tcBorders>
              <w:top w:val="nil"/>
              <w:left w:val="nil"/>
              <w:bottom w:val="single" w:sz="8" w:space="0" w:color="CCCCCC"/>
              <w:right w:val="single" w:sz="8" w:space="0" w:color="CCCCCC"/>
            </w:tcBorders>
            <w:shd w:val="clear" w:color="auto" w:fill="auto"/>
            <w:noWrap/>
            <w:vAlign w:val="center"/>
            <w:hideMark/>
          </w:tcPr>
          <w:p w14:paraId="4D3F25E8"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1 047</w:t>
            </w:r>
          </w:p>
        </w:tc>
        <w:tc>
          <w:tcPr>
            <w:tcW w:w="1126" w:type="dxa"/>
            <w:tcBorders>
              <w:top w:val="nil"/>
              <w:left w:val="nil"/>
              <w:bottom w:val="single" w:sz="8" w:space="0" w:color="CCCCCC"/>
              <w:right w:val="single" w:sz="8" w:space="0" w:color="CCCCCC"/>
            </w:tcBorders>
            <w:shd w:val="clear" w:color="auto" w:fill="auto"/>
            <w:noWrap/>
            <w:vAlign w:val="center"/>
            <w:hideMark/>
          </w:tcPr>
          <w:p w14:paraId="0A9E084E"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694</w:t>
            </w:r>
          </w:p>
        </w:tc>
        <w:tc>
          <w:tcPr>
            <w:tcW w:w="1126" w:type="dxa"/>
            <w:tcBorders>
              <w:top w:val="nil"/>
              <w:left w:val="nil"/>
              <w:bottom w:val="single" w:sz="8" w:space="0" w:color="A2C4E0"/>
              <w:right w:val="single" w:sz="8" w:space="0" w:color="auto"/>
            </w:tcBorders>
            <w:shd w:val="clear" w:color="000000" w:fill="DFDFDF"/>
            <w:noWrap/>
            <w:vAlign w:val="center"/>
            <w:hideMark/>
          </w:tcPr>
          <w:p w14:paraId="6BB155B3"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1 741</w:t>
            </w:r>
          </w:p>
        </w:tc>
      </w:tr>
      <w:tr w:rsidR="00A32A92" w:rsidRPr="00933FBC" w14:paraId="6B35969C" w14:textId="77777777" w:rsidTr="008B4EAF">
        <w:trPr>
          <w:trHeight w:val="284"/>
        </w:trPr>
        <w:tc>
          <w:tcPr>
            <w:tcW w:w="1126" w:type="dxa"/>
            <w:tcBorders>
              <w:top w:val="nil"/>
              <w:left w:val="single" w:sz="8" w:space="0" w:color="auto"/>
              <w:bottom w:val="single" w:sz="8" w:space="0" w:color="93B1CD"/>
              <w:right w:val="single" w:sz="8" w:space="0" w:color="93B1CD"/>
            </w:tcBorders>
            <w:shd w:val="clear" w:color="000000" w:fill="BFD2E2"/>
            <w:noWrap/>
            <w:vAlign w:val="center"/>
            <w:hideMark/>
          </w:tcPr>
          <w:p w14:paraId="45803CE7" w14:textId="77777777" w:rsidR="00A32A92" w:rsidRPr="00933FBC" w:rsidRDefault="00A32A92" w:rsidP="008B4EAF">
            <w:pPr>
              <w:jc w:val="both"/>
              <w:rPr>
                <w:rFonts w:cs="Tahoma"/>
                <w:color w:val="000000"/>
                <w:sz w:val="16"/>
                <w:szCs w:val="16"/>
              </w:rPr>
            </w:pPr>
            <w:r w:rsidRPr="00933FBC">
              <w:rPr>
                <w:rFonts w:cs="Tahoma"/>
                <w:color w:val="000000"/>
                <w:sz w:val="16"/>
                <w:szCs w:val="16"/>
              </w:rPr>
              <w:t>Natiivi</w:t>
            </w:r>
          </w:p>
        </w:tc>
        <w:tc>
          <w:tcPr>
            <w:tcW w:w="1126" w:type="dxa"/>
            <w:tcBorders>
              <w:top w:val="nil"/>
              <w:left w:val="nil"/>
              <w:bottom w:val="single" w:sz="8" w:space="0" w:color="A2C4E0"/>
              <w:right w:val="single" w:sz="8" w:space="0" w:color="A2C4E0"/>
            </w:tcBorders>
            <w:shd w:val="clear" w:color="auto" w:fill="auto"/>
            <w:noWrap/>
            <w:vAlign w:val="center"/>
            <w:hideMark/>
          </w:tcPr>
          <w:p w14:paraId="63AD512B" w14:textId="3A7DAA13" w:rsidR="00A32A92" w:rsidRPr="00933FBC" w:rsidRDefault="00EC5CC9" w:rsidP="008B4EAF">
            <w:pPr>
              <w:jc w:val="both"/>
              <w:rPr>
                <w:rFonts w:cs="Tahoma"/>
                <w:b/>
                <w:bCs/>
                <w:color w:val="000000"/>
                <w:sz w:val="16"/>
                <w:szCs w:val="16"/>
              </w:rPr>
            </w:pPr>
            <w:r w:rsidRPr="00EC5CC9">
              <w:rPr>
                <w:rFonts w:cs="Tahoma"/>
                <w:b/>
                <w:bCs/>
                <w:color w:val="000000"/>
                <w:sz w:val="16"/>
                <w:szCs w:val="16"/>
              </w:rPr>
              <w:t>99</w:t>
            </w:r>
            <w:r>
              <w:rPr>
                <w:rFonts w:cs="Tahoma"/>
                <w:b/>
                <w:bCs/>
                <w:color w:val="000000"/>
                <w:sz w:val="16"/>
                <w:szCs w:val="16"/>
              </w:rPr>
              <w:t xml:space="preserve"> </w:t>
            </w:r>
            <w:r w:rsidRPr="00EC5CC9">
              <w:rPr>
                <w:rFonts w:cs="Tahoma"/>
                <w:b/>
                <w:bCs/>
                <w:color w:val="000000"/>
                <w:sz w:val="16"/>
                <w:szCs w:val="16"/>
              </w:rPr>
              <w:t>834</w:t>
            </w:r>
          </w:p>
        </w:tc>
        <w:tc>
          <w:tcPr>
            <w:tcW w:w="1126" w:type="dxa"/>
            <w:tcBorders>
              <w:top w:val="nil"/>
              <w:left w:val="nil"/>
              <w:bottom w:val="single" w:sz="8" w:space="0" w:color="A2C4E0"/>
              <w:right w:val="single" w:sz="8" w:space="0" w:color="A2C4E0"/>
            </w:tcBorders>
            <w:shd w:val="clear" w:color="auto" w:fill="auto"/>
            <w:noWrap/>
            <w:vAlign w:val="center"/>
            <w:hideMark/>
          </w:tcPr>
          <w:p w14:paraId="0B0FC401" w14:textId="06894EA8" w:rsidR="00A32A92" w:rsidRPr="00933FBC" w:rsidRDefault="00EC5CC9" w:rsidP="008B4EAF">
            <w:pPr>
              <w:jc w:val="both"/>
              <w:rPr>
                <w:rFonts w:cs="Tahoma"/>
                <w:b/>
                <w:bCs/>
                <w:color w:val="000000"/>
                <w:sz w:val="16"/>
                <w:szCs w:val="16"/>
              </w:rPr>
            </w:pPr>
            <w:r w:rsidRPr="00EC5CC9">
              <w:rPr>
                <w:rFonts w:cs="Tahoma"/>
                <w:b/>
                <w:bCs/>
                <w:color w:val="000000"/>
                <w:sz w:val="16"/>
                <w:szCs w:val="16"/>
              </w:rPr>
              <w:t>66</w:t>
            </w:r>
            <w:r>
              <w:rPr>
                <w:rFonts w:cs="Tahoma"/>
                <w:b/>
                <w:bCs/>
                <w:color w:val="000000"/>
                <w:sz w:val="16"/>
                <w:szCs w:val="16"/>
              </w:rPr>
              <w:t xml:space="preserve"> </w:t>
            </w:r>
            <w:r w:rsidRPr="00EC5CC9">
              <w:rPr>
                <w:rFonts w:cs="Tahoma"/>
                <w:b/>
                <w:bCs/>
                <w:color w:val="000000"/>
                <w:sz w:val="16"/>
                <w:szCs w:val="16"/>
              </w:rPr>
              <w:t>706</w:t>
            </w:r>
          </w:p>
        </w:tc>
        <w:tc>
          <w:tcPr>
            <w:tcW w:w="1126" w:type="dxa"/>
            <w:tcBorders>
              <w:top w:val="nil"/>
              <w:left w:val="nil"/>
              <w:bottom w:val="single" w:sz="8" w:space="0" w:color="A2C4E0"/>
              <w:right w:val="single" w:sz="8" w:space="0" w:color="auto"/>
            </w:tcBorders>
            <w:shd w:val="clear" w:color="000000" w:fill="F2F1F1"/>
            <w:noWrap/>
            <w:vAlign w:val="center"/>
            <w:hideMark/>
          </w:tcPr>
          <w:p w14:paraId="76DF049F" w14:textId="329F05E0" w:rsidR="00A32A92" w:rsidRPr="00933FBC" w:rsidRDefault="00A32A92" w:rsidP="008B4EAF">
            <w:pPr>
              <w:jc w:val="both"/>
              <w:rPr>
                <w:rFonts w:cs="Tahoma"/>
                <w:b/>
                <w:bCs/>
                <w:color w:val="000000"/>
                <w:sz w:val="16"/>
                <w:szCs w:val="16"/>
              </w:rPr>
            </w:pPr>
            <w:r w:rsidRPr="00933FBC">
              <w:rPr>
                <w:rFonts w:cs="Tahoma"/>
                <w:b/>
                <w:bCs/>
                <w:color w:val="000000"/>
                <w:sz w:val="16"/>
                <w:szCs w:val="16"/>
              </w:rPr>
              <w:t>16</w:t>
            </w:r>
            <w:r w:rsidR="00EC5CC9">
              <w:rPr>
                <w:rFonts w:cs="Tahoma"/>
                <w:b/>
                <w:bCs/>
                <w:color w:val="000000"/>
                <w:sz w:val="16"/>
                <w:szCs w:val="16"/>
              </w:rPr>
              <w:t>6 540</w:t>
            </w:r>
          </w:p>
        </w:tc>
        <w:tc>
          <w:tcPr>
            <w:tcW w:w="476" w:type="dxa"/>
            <w:tcBorders>
              <w:top w:val="nil"/>
              <w:left w:val="nil"/>
              <w:bottom w:val="nil"/>
              <w:right w:val="nil"/>
            </w:tcBorders>
            <w:shd w:val="clear" w:color="auto" w:fill="auto"/>
            <w:noWrap/>
            <w:vAlign w:val="bottom"/>
            <w:hideMark/>
          </w:tcPr>
          <w:p w14:paraId="64C132AF" w14:textId="77777777" w:rsidR="00A32A92" w:rsidRPr="00933FBC" w:rsidRDefault="00A32A92" w:rsidP="008B4EAF">
            <w:pPr>
              <w:jc w:val="both"/>
              <w:rPr>
                <w:rFonts w:cs="Tahoma"/>
                <w:b/>
                <w:bCs/>
                <w:color w:val="000000"/>
                <w:sz w:val="16"/>
                <w:szCs w:val="16"/>
              </w:rPr>
            </w:pPr>
          </w:p>
        </w:tc>
        <w:tc>
          <w:tcPr>
            <w:tcW w:w="1733" w:type="dxa"/>
            <w:tcBorders>
              <w:top w:val="nil"/>
              <w:left w:val="single" w:sz="8" w:space="0" w:color="auto"/>
              <w:bottom w:val="single" w:sz="8" w:space="0" w:color="93B1CD"/>
              <w:right w:val="single" w:sz="8" w:space="0" w:color="93B1CD"/>
            </w:tcBorders>
            <w:shd w:val="clear" w:color="000000" w:fill="BFD2E2"/>
            <w:noWrap/>
            <w:vAlign w:val="center"/>
            <w:hideMark/>
          </w:tcPr>
          <w:p w14:paraId="62C24534" w14:textId="77777777" w:rsidR="00A32A92" w:rsidRPr="00933FBC" w:rsidRDefault="00A32A92" w:rsidP="008B4EAF">
            <w:pPr>
              <w:jc w:val="both"/>
              <w:rPr>
                <w:rFonts w:cs="Tahoma"/>
                <w:color w:val="000000"/>
                <w:sz w:val="16"/>
                <w:szCs w:val="16"/>
              </w:rPr>
            </w:pPr>
            <w:r w:rsidRPr="00933FBC">
              <w:rPr>
                <w:rFonts w:cs="Tahoma"/>
                <w:color w:val="000000"/>
                <w:sz w:val="16"/>
                <w:szCs w:val="16"/>
              </w:rPr>
              <w:t>LPV-ohjattu tmp</w:t>
            </w:r>
          </w:p>
        </w:tc>
        <w:tc>
          <w:tcPr>
            <w:tcW w:w="1126" w:type="dxa"/>
            <w:tcBorders>
              <w:top w:val="nil"/>
              <w:left w:val="nil"/>
              <w:bottom w:val="single" w:sz="8" w:space="0" w:color="CCCCCC"/>
              <w:right w:val="single" w:sz="8" w:space="0" w:color="CCCCCC"/>
            </w:tcBorders>
            <w:shd w:val="clear" w:color="auto" w:fill="auto"/>
            <w:noWrap/>
            <w:vAlign w:val="center"/>
            <w:hideMark/>
          </w:tcPr>
          <w:p w14:paraId="51E5CFBB"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374</w:t>
            </w:r>
          </w:p>
        </w:tc>
        <w:tc>
          <w:tcPr>
            <w:tcW w:w="1126" w:type="dxa"/>
            <w:tcBorders>
              <w:top w:val="nil"/>
              <w:left w:val="nil"/>
              <w:bottom w:val="single" w:sz="8" w:space="0" w:color="CCCCCC"/>
              <w:right w:val="single" w:sz="8" w:space="0" w:color="CCCCCC"/>
            </w:tcBorders>
            <w:shd w:val="clear" w:color="auto" w:fill="auto"/>
            <w:noWrap/>
            <w:vAlign w:val="center"/>
            <w:hideMark/>
          </w:tcPr>
          <w:p w14:paraId="785F0BBA"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284</w:t>
            </w:r>
          </w:p>
        </w:tc>
        <w:tc>
          <w:tcPr>
            <w:tcW w:w="1126" w:type="dxa"/>
            <w:tcBorders>
              <w:top w:val="nil"/>
              <w:left w:val="nil"/>
              <w:bottom w:val="single" w:sz="8" w:space="0" w:color="A2C4E0"/>
              <w:right w:val="single" w:sz="8" w:space="0" w:color="auto"/>
            </w:tcBorders>
            <w:shd w:val="clear" w:color="000000" w:fill="DFDFDF"/>
            <w:noWrap/>
            <w:vAlign w:val="center"/>
            <w:hideMark/>
          </w:tcPr>
          <w:p w14:paraId="7151D3C1"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658</w:t>
            </w:r>
          </w:p>
        </w:tc>
      </w:tr>
      <w:tr w:rsidR="00A32A92" w:rsidRPr="00933FBC" w14:paraId="012FC08C" w14:textId="77777777" w:rsidTr="008B4EAF">
        <w:trPr>
          <w:trHeight w:val="284"/>
        </w:trPr>
        <w:tc>
          <w:tcPr>
            <w:tcW w:w="1126" w:type="dxa"/>
            <w:tcBorders>
              <w:top w:val="nil"/>
              <w:left w:val="single" w:sz="8" w:space="0" w:color="auto"/>
              <w:bottom w:val="single" w:sz="8" w:space="0" w:color="93B1CD"/>
              <w:right w:val="single" w:sz="8" w:space="0" w:color="93B1CD"/>
            </w:tcBorders>
            <w:shd w:val="clear" w:color="000000" w:fill="BFD2E2"/>
            <w:noWrap/>
            <w:vAlign w:val="center"/>
            <w:hideMark/>
          </w:tcPr>
          <w:p w14:paraId="01DFD67D" w14:textId="77777777" w:rsidR="00A32A92" w:rsidRPr="00933FBC" w:rsidRDefault="00A32A92" w:rsidP="008B4EAF">
            <w:pPr>
              <w:jc w:val="both"/>
              <w:rPr>
                <w:rFonts w:cs="Tahoma"/>
                <w:color w:val="000000"/>
                <w:sz w:val="16"/>
                <w:szCs w:val="16"/>
              </w:rPr>
            </w:pPr>
            <w:r w:rsidRPr="00933FBC">
              <w:rPr>
                <w:rFonts w:cs="Tahoma"/>
                <w:color w:val="000000"/>
                <w:sz w:val="16"/>
                <w:szCs w:val="16"/>
              </w:rPr>
              <w:t>TT</w:t>
            </w:r>
          </w:p>
        </w:tc>
        <w:tc>
          <w:tcPr>
            <w:tcW w:w="1126" w:type="dxa"/>
            <w:tcBorders>
              <w:top w:val="nil"/>
              <w:left w:val="nil"/>
              <w:bottom w:val="single" w:sz="8" w:space="0" w:color="A2C4E0"/>
              <w:right w:val="single" w:sz="8" w:space="0" w:color="A2C4E0"/>
            </w:tcBorders>
            <w:shd w:val="clear" w:color="auto" w:fill="auto"/>
            <w:noWrap/>
            <w:vAlign w:val="center"/>
            <w:hideMark/>
          </w:tcPr>
          <w:p w14:paraId="0334179C"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15 871</w:t>
            </w:r>
          </w:p>
        </w:tc>
        <w:tc>
          <w:tcPr>
            <w:tcW w:w="1126" w:type="dxa"/>
            <w:tcBorders>
              <w:top w:val="nil"/>
              <w:left w:val="nil"/>
              <w:bottom w:val="single" w:sz="8" w:space="0" w:color="A2C4E0"/>
              <w:right w:val="single" w:sz="8" w:space="0" w:color="A2C4E0"/>
            </w:tcBorders>
            <w:shd w:val="clear" w:color="auto" w:fill="auto"/>
            <w:noWrap/>
            <w:vAlign w:val="center"/>
            <w:hideMark/>
          </w:tcPr>
          <w:p w14:paraId="007A76DF"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30 950</w:t>
            </w:r>
          </w:p>
        </w:tc>
        <w:tc>
          <w:tcPr>
            <w:tcW w:w="1126" w:type="dxa"/>
            <w:tcBorders>
              <w:top w:val="nil"/>
              <w:left w:val="nil"/>
              <w:bottom w:val="single" w:sz="8" w:space="0" w:color="A2C4E0"/>
              <w:right w:val="single" w:sz="8" w:space="0" w:color="auto"/>
            </w:tcBorders>
            <w:shd w:val="clear" w:color="000000" w:fill="F2F1F1"/>
            <w:noWrap/>
            <w:vAlign w:val="center"/>
            <w:hideMark/>
          </w:tcPr>
          <w:p w14:paraId="752F0027"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46 821</w:t>
            </w:r>
          </w:p>
        </w:tc>
        <w:tc>
          <w:tcPr>
            <w:tcW w:w="476" w:type="dxa"/>
            <w:tcBorders>
              <w:top w:val="nil"/>
              <w:left w:val="nil"/>
              <w:bottom w:val="nil"/>
              <w:right w:val="nil"/>
            </w:tcBorders>
            <w:shd w:val="clear" w:color="auto" w:fill="auto"/>
            <w:noWrap/>
            <w:vAlign w:val="bottom"/>
            <w:hideMark/>
          </w:tcPr>
          <w:p w14:paraId="2725C4C2" w14:textId="77777777" w:rsidR="00A32A92" w:rsidRPr="00933FBC" w:rsidRDefault="00A32A92" w:rsidP="008B4EAF">
            <w:pPr>
              <w:jc w:val="both"/>
              <w:rPr>
                <w:rFonts w:cs="Tahoma"/>
                <w:b/>
                <w:bCs/>
                <w:color w:val="000000"/>
                <w:sz w:val="16"/>
                <w:szCs w:val="16"/>
              </w:rPr>
            </w:pPr>
          </w:p>
        </w:tc>
        <w:tc>
          <w:tcPr>
            <w:tcW w:w="1733" w:type="dxa"/>
            <w:tcBorders>
              <w:top w:val="nil"/>
              <w:left w:val="single" w:sz="8" w:space="0" w:color="auto"/>
              <w:bottom w:val="single" w:sz="8" w:space="0" w:color="93B1CD"/>
              <w:right w:val="single" w:sz="8" w:space="0" w:color="93B1CD"/>
            </w:tcBorders>
            <w:shd w:val="clear" w:color="000000" w:fill="BFD2E2"/>
            <w:noWrap/>
            <w:vAlign w:val="center"/>
            <w:hideMark/>
          </w:tcPr>
          <w:p w14:paraId="6EF9FD8C" w14:textId="77777777" w:rsidR="00A32A92" w:rsidRPr="00933FBC" w:rsidRDefault="00A32A92" w:rsidP="008B4EAF">
            <w:pPr>
              <w:jc w:val="both"/>
              <w:rPr>
                <w:rFonts w:cs="Tahoma"/>
                <w:color w:val="000000"/>
                <w:sz w:val="16"/>
                <w:szCs w:val="16"/>
              </w:rPr>
            </w:pPr>
            <w:r w:rsidRPr="00933FBC">
              <w:rPr>
                <w:rFonts w:cs="Tahoma"/>
                <w:color w:val="000000"/>
                <w:sz w:val="16"/>
                <w:szCs w:val="16"/>
              </w:rPr>
              <w:t>Muu tmp</w:t>
            </w:r>
          </w:p>
        </w:tc>
        <w:tc>
          <w:tcPr>
            <w:tcW w:w="1126" w:type="dxa"/>
            <w:tcBorders>
              <w:top w:val="nil"/>
              <w:left w:val="nil"/>
              <w:bottom w:val="single" w:sz="8" w:space="0" w:color="CCCCCC"/>
              <w:right w:val="single" w:sz="8" w:space="0" w:color="CCCCCC"/>
            </w:tcBorders>
            <w:shd w:val="clear" w:color="auto" w:fill="auto"/>
            <w:noWrap/>
            <w:vAlign w:val="center"/>
            <w:hideMark/>
          </w:tcPr>
          <w:p w14:paraId="0780D11C" w14:textId="7A5FB093" w:rsidR="00A32A92" w:rsidRPr="00933FBC" w:rsidRDefault="00157DCA" w:rsidP="008B4EAF">
            <w:pPr>
              <w:jc w:val="both"/>
              <w:rPr>
                <w:rFonts w:cs="Tahoma"/>
                <w:b/>
                <w:bCs/>
                <w:color w:val="000000"/>
                <w:sz w:val="16"/>
                <w:szCs w:val="16"/>
              </w:rPr>
            </w:pPr>
            <w:r>
              <w:rPr>
                <w:rFonts w:cs="Tahoma"/>
                <w:b/>
                <w:bCs/>
                <w:color w:val="000000"/>
                <w:sz w:val="16"/>
                <w:szCs w:val="16"/>
              </w:rPr>
              <w:t>7</w:t>
            </w:r>
          </w:p>
        </w:tc>
        <w:tc>
          <w:tcPr>
            <w:tcW w:w="1126" w:type="dxa"/>
            <w:tcBorders>
              <w:top w:val="nil"/>
              <w:left w:val="nil"/>
              <w:bottom w:val="single" w:sz="8" w:space="0" w:color="CCCCCC"/>
              <w:right w:val="single" w:sz="8" w:space="0" w:color="CCCCCC"/>
            </w:tcBorders>
            <w:shd w:val="clear" w:color="auto" w:fill="auto"/>
            <w:noWrap/>
            <w:vAlign w:val="center"/>
            <w:hideMark/>
          </w:tcPr>
          <w:p w14:paraId="73E2CC5A"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8</w:t>
            </w:r>
          </w:p>
        </w:tc>
        <w:tc>
          <w:tcPr>
            <w:tcW w:w="1126" w:type="dxa"/>
            <w:tcBorders>
              <w:top w:val="nil"/>
              <w:left w:val="nil"/>
              <w:bottom w:val="single" w:sz="8" w:space="0" w:color="A2C4E0"/>
              <w:right w:val="single" w:sz="8" w:space="0" w:color="auto"/>
            </w:tcBorders>
            <w:shd w:val="clear" w:color="000000" w:fill="DFDFDF"/>
            <w:noWrap/>
            <w:vAlign w:val="center"/>
            <w:hideMark/>
          </w:tcPr>
          <w:p w14:paraId="5EC686D7" w14:textId="354ED7BE" w:rsidR="00A32A92" w:rsidRPr="00933FBC" w:rsidRDefault="00A32A92" w:rsidP="008B4EAF">
            <w:pPr>
              <w:jc w:val="both"/>
              <w:rPr>
                <w:rFonts w:cs="Tahoma"/>
                <w:b/>
                <w:bCs/>
                <w:color w:val="000000"/>
                <w:sz w:val="16"/>
                <w:szCs w:val="16"/>
              </w:rPr>
            </w:pPr>
            <w:r w:rsidRPr="00933FBC">
              <w:rPr>
                <w:rFonts w:cs="Tahoma"/>
                <w:b/>
                <w:bCs/>
                <w:color w:val="000000"/>
                <w:sz w:val="16"/>
                <w:szCs w:val="16"/>
              </w:rPr>
              <w:t>1</w:t>
            </w:r>
            <w:r w:rsidR="00157DCA">
              <w:rPr>
                <w:rFonts w:cs="Tahoma"/>
                <w:b/>
                <w:bCs/>
                <w:color w:val="000000"/>
                <w:sz w:val="16"/>
                <w:szCs w:val="16"/>
              </w:rPr>
              <w:t>5</w:t>
            </w:r>
          </w:p>
        </w:tc>
      </w:tr>
      <w:tr w:rsidR="00A32A92" w:rsidRPr="00933FBC" w14:paraId="6387AAEE" w14:textId="77777777" w:rsidTr="008B4EAF">
        <w:trPr>
          <w:trHeight w:val="284"/>
        </w:trPr>
        <w:tc>
          <w:tcPr>
            <w:tcW w:w="1126" w:type="dxa"/>
            <w:tcBorders>
              <w:top w:val="nil"/>
              <w:left w:val="single" w:sz="8" w:space="0" w:color="auto"/>
              <w:bottom w:val="single" w:sz="8" w:space="0" w:color="93B1CD"/>
              <w:right w:val="single" w:sz="8" w:space="0" w:color="93B1CD"/>
            </w:tcBorders>
            <w:shd w:val="clear" w:color="000000" w:fill="BFD2E2"/>
            <w:noWrap/>
            <w:vAlign w:val="center"/>
            <w:hideMark/>
          </w:tcPr>
          <w:p w14:paraId="1FFA778E" w14:textId="77777777" w:rsidR="00A32A92" w:rsidRPr="00933FBC" w:rsidRDefault="00A32A92" w:rsidP="008B4EAF">
            <w:pPr>
              <w:jc w:val="both"/>
              <w:rPr>
                <w:rFonts w:cs="Tahoma"/>
                <w:color w:val="000000"/>
                <w:sz w:val="16"/>
                <w:szCs w:val="16"/>
              </w:rPr>
            </w:pPr>
            <w:r w:rsidRPr="00933FBC">
              <w:rPr>
                <w:rFonts w:cs="Tahoma"/>
                <w:color w:val="000000"/>
                <w:sz w:val="16"/>
                <w:szCs w:val="16"/>
              </w:rPr>
              <w:t>Varjoaine</w:t>
            </w:r>
          </w:p>
        </w:tc>
        <w:tc>
          <w:tcPr>
            <w:tcW w:w="1126" w:type="dxa"/>
            <w:tcBorders>
              <w:top w:val="nil"/>
              <w:left w:val="nil"/>
              <w:bottom w:val="single" w:sz="8" w:space="0" w:color="A2C4E0"/>
              <w:right w:val="single" w:sz="8" w:space="0" w:color="A2C4E0"/>
            </w:tcBorders>
            <w:shd w:val="clear" w:color="auto" w:fill="auto"/>
            <w:noWrap/>
            <w:vAlign w:val="center"/>
            <w:hideMark/>
          </w:tcPr>
          <w:p w14:paraId="66C93B02"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766</w:t>
            </w:r>
          </w:p>
        </w:tc>
        <w:tc>
          <w:tcPr>
            <w:tcW w:w="1126" w:type="dxa"/>
            <w:tcBorders>
              <w:top w:val="nil"/>
              <w:left w:val="nil"/>
              <w:bottom w:val="single" w:sz="8" w:space="0" w:color="A2C4E0"/>
              <w:right w:val="single" w:sz="8" w:space="0" w:color="A2C4E0"/>
            </w:tcBorders>
            <w:shd w:val="clear" w:color="auto" w:fill="auto"/>
            <w:noWrap/>
            <w:vAlign w:val="center"/>
            <w:hideMark/>
          </w:tcPr>
          <w:p w14:paraId="50E99873" w14:textId="4C545D15" w:rsidR="00A32A92" w:rsidRPr="00933FBC" w:rsidRDefault="00A32A92" w:rsidP="008B4EAF">
            <w:pPr>
              <w:jc w:val="both"/>
              <w:rPr>
                <w:rFonts w:cs="Tahoma"/>
                <w:b/>
                <w:bCs/>
                <w:color w:val="000000"/>
                <w:sz w:val="16"/>
                <w:szCs w:val="16"/>
              </w:rPr>
            </w:pPr>
            <w:r w:rsidRPr="00933FBC">
              <w:rPr>
                <w:rFonts w:cs="Tahoma"/>
                <w:b/>
                <w:bCs/>
                <w:color w:val="000000"/>
                <w:sz w:val="16"/>
                <w:szCs w:val="16"/>
              </w:rPr>
              <w:t>21</w:t>
            </w:r>
            <w:r w:rsidR="00EC5CC9">
              <w:rPr>
                <w:rFonts w:cs="Tahoma"/>
                <w:b/>
                <w:bCs/>
                <w:color w:val="000000"/>
                <w:sz w:val="16"/>
                <w:szCs w:val="16"/>
              </w:rPr>
              <w:t>6</w:t>
            </w:r>
          </w:p>
        </w:tc>
        <w:tc>
          <w:tcPr>
            <w:tcW w:w="1126" w:type="dxa"/>
            <w:tcBorders>
              <w:top w:val="nil"/>
              <w:left w:val="nil"/>
              <w:bottom w:val="single" w:sz="8" w:space="0" w:color="A2C4E0"/>
              <w:right w:val="single" w:sz="8" w:space="0" w:color="auto"/>
            </w:tcBorders>
            <w:shd w:val="clear" w:color="000000" w:fill="F2F1F1"/>
            <w:noWrap/>
            <w:vAlign w:val="center"/>
            <w:hideMark/>
          </w:tcPr>
          <w:p w14:paraId="2C8A5855" w14:textId="68B180A5" w:rsidR="00A32A92" w:rsidRPr="00933FBC" w:rsidRDefault="00A32A92" w:rsidP="008B4EAF">
            <w:pPr>
              <w:jc w:val="both"/>
              <w:rPr>
                <w:rFonts w:cs="Tahoma"/>
                <w:b/>
                <w:bCs/>
                <w:color w:val="000000"/>
                <w:sz w:val="16"/>
                <w:szCs w:val="16"/>
              </w:rPr>
            </w:pPr>
            <w:r w:rsidRPr="00933FBC">
              <w:rPr>
                <w:rFonts w:cs="Tahoma"/>
                <w:b/>
                <w:bCs/>
                <w:color w:val="000000"/>
                <w:sz w:val="16"/>
                <w:szCs w:val="16"/>
              </w:rPr>
              <w:t>98</w:t>
            </w:r>
            <w:r w:rsidR="00EC5CC9">
              <w:rPr>
                <w:rFonts w:cs="Tahoma"/>
                <w:b/>
                <w:bCs/>
                <w:color w:val="000000"/>
                <w:sz w:val="16"/>
                <w:szCs w:val="16"/>
              </w:rPr>
              <w:t>2</w:t>
            </w:r>
          </w:p>
        </w:tc>
        <w:tc>
          <w:tcPr>
            <w:tcW w:w="476" w:type="dxa"/>
            <w:tcBorders>
              <w:top w:val="nil"/>
              <w:left w:val="nil"/>
              <w:bottom w:val="nil"/>
              <w:right w:val="nil"/>
            </w:tcBorders>
            <w:shd w:val="clear" w:color="auto" w:fill="auto"/>
            <w:noWrap/>
            <w:vAlign w:val="bottom"/>
            <w:hideMark/>
          </w:tcPr>
          <w:p w14:paraId="526B8593" w14:textId="77777777" w:rsidR="00A32A92" w:rsidRPr="00933FBC" w:rsidRDefault="00A32A92" w:rsidP="008B4EAF">
            <w:pPr>
              <w:jc w:val="both"/>
              <w:rPr>
                <w:rFonts w:cs="Tahoma"/>
                <w:b/>
                <w:bCs/>
                <w:color w:val="000000"/>
                <w:sz w:val="16"/>
                <w:szCs w:val="16"/>
              </w:rPr>
            </w:pPr>
          </w:p>
        </w:tc>
        <w:tc>
          <w:tcPr>
            <w:tcW w:w="1733" w:type="dxa"/>
            <w:tcBorders>
              <w:top w:val="nil"/>
              <w:left w:val="single" w:sz="8" w:space="0" w:color="auto"/>
              <w:bottom w:val="single" w:sz="8" w:space="0" w:color="93B1CD"/>
              <w:right w:val="single" w:sz="8" w:space="0" w:color="93B1CD"/>
            </w:tcBorders>
            <w:shd w:val="clear" w:color="000000" w:fill="BFD2E2"/>
            <w:noWrap/>
            <w:vAlign w:val="center"/>
            <w:hideMark/>
          </w:tcPr>
          <w:p w14:paraId="01F04A4C" w14:textId="77777777" w:rsidR="00A32A92" w:rsidRPr="00933FBC" w:rsidRDefault="00A32A92" w:rsidP="008B4EAF">
            <w:pPr>
              <w:jc w:val="both"/>
              <w:rPr>
                <w:rFonts w:cs="Tahoma"/>
                <w:color w:val="000000"/>
                <w:sz w:val="16"/>
                <w:szCs w:val="16"/>
              </w:rPr>
            </w:pPr>
            <w:r w:rsidRPr="00933FBC">
              <w:rPr>
                <w:rFonts w:cs="Tahoma"/>
                <w:color w:val="000000"/>
                <w:sz w:val="16"/>
                <w:szCs w:val="16"/>
              </w:rPr>
              <w:t>TT ohjattu tmp</w:t>
            </w:r>
          </w:p>
        </w:tc>
        <w:tc>
          <w:tcPr>
            <w:tcW w:w="1126" w:type="dxa"/>
            <w:tcBorders>
              <w:top w:val="nil"/>
              <w:left w:val="nil"/>
              <w:bottom w:val="single" w:sz="8" w:space="0" w:color="CCCCCC"/>
              <w:right w:val="single" w:sz="8" w:space="0" w:color="CCCCCC"/>
            </w:tcBorders>
            <w:shd w:val="clear" w:color="auto" w:fill="auto"/>
            <w:noWrap/>
            <w:vAlign w:val="center"/>
            <w:hideMark/>
          </w:tcPr>
          <w:p w14:paraId="7A5EFCAE"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184</w:t>
            </w:r>
          </w:p>
        </w:tc>
        <w:tc>
          <w:tcPr>
            <w:tcW w:w="1126" w:type="dxa"/>
            <w:tcBorders>
              <w:top w:val="nil"/>
              <w:left w:val="nil"/>
              <w:bottom w:val="single" w:sz="8" w:space="0" w:color="CCCCCC"/>
              <w:right w:val="single" w:sz="8" w:space="0" w:color="CCCCCC"/>
            </w:tcBorders>
            <w:shd w:val="clear" w:color="auto" w:fill="auto"/>
            <w:noWrap/>
            <w:vAlign w:val="center"/>
            <w:hideMark/>
          </w:tcPr>
          <w:p w14:paraId="29108C76"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54</w:t>
            </w:r>
          </w:p>
        </w:tc>
        <w:tc>
          <w:tcPr>
            <w:tcW w:w="1126" w:type="dxa"/>
            <w:tcBorders>
              <w:top w:val="nil"/>
              <w:left w:val="nil"/>
              <w:bottom w:val="single" w:sz="8" w:space="0" w:color="A2C4E0"/>
              <w:right w:val="single" w:sz="8" w:space="0" w:color="auto"/>
            </w:tcBorders>
            <w:shd w:val="clear" w:color="000000" w:fill="DFDFDF"/>
            <w:noWrap/>
            <w:vAlign w:val="center"/>
            <w:hideMark/>
          </w:tcPr>
          <w:p w14:paraId="7AE94EF9"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238</w:t>
            </w:r>
          </w:p>
        </w:tc>
      </w:tr>
      <w:tr w:rsidR="00A32A92" w:rsidRPr="00933FBC" w14:paraId="7A32C9D0" w14:textId="77777777" w:rsidTr="008B4EAF">
        <w:trPr>
          <w:trHeight w:val="284"/>
        </w:trPr>
        <w:tc>
          <w:tcPr>
            <w:tcW w:w="1126" w:type="dxa"/>
            <w:tcBorders>
              <w:top w:val="nil"/>
              <w:left w:val="single" w:sz="8" w:space="0" w:color="auto"/>
              <w:bottom w:val="single" w:sz="8" w:space="0" w:color="93B1CD"/>
              <w:right w:val="single" w:sz="8" w:space="0" w:color="93B1CD"/>
            </w:tcBorders>
            <w:shd w:val="clear" w:color="000000" w:fill="BFD2E2"/>
            <w:noWrap/>
            <w:vAlign w:val="center"/>
            <w:hideMark/>
          </w:tcPr>
          <w:p w14:paraId="66B54BB1" w14:textId="77777777" w:rsidR="00A32A92" w:rsidRPr="00933FBC" w:rsidRDefault="00A32A92" w:rsidP="008B4EAF">
            <w:pPr>
              <w:jc w:val="both"/>
              <w:rPr>
                <w:rFonts w:cs="Tahoma"/>
                <w:color w:val="000000"/>
                <w:sz w:val="16"/>
                <w:szCs w:val="16"/>
              </w:rPr>
            </w:pPr>
            <w:r w:rsidRPr="00933FBC">
              <w:rPr>
                <w:rFonts w:cs="Tahoma"/>
                <w:color w:val="000000"/>
                <w:sz w:val="16"/>
                <w:szCs w:val="16"/>
              </w:rPr>
              <w:t>Verisuoni</w:t>
            </w:r>
          </w:p>
        </w:tc>
        <w:tc>
          <w:tcPr>
            <w:tcW w:w="1126" w:type="dxa"/>
            <w:tcBorders>
              <w:top w:val="nil"/>
              <w:left w:val="nil"/>
              <w:bottom w:val="single" w:sz="8" w:space="0" w:color="A2C4E0"/>
              <w:right w:val="single" w:sz="8" w:space="0" w:color="A2C4E0"/>
            </w:tcBorders>
            <w:shd w:val="clear" w:color="auto" w:fill="auto"/>
            <w:noWrap/>
            <w:vAlign w:val="center"/>
            <w:hideMark/>
          </w:tcPr>
          <w:p w14:paraId="5425C055"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596</w:t>
            </w:r>
          </w:p>
        </w:tc>
        <w:tc>
          <w:tcPr>
            <w:tcW w:w="1126" w:type="dxa"/>
            <w:tcBorders>
              <w:top w:val="nil"/>
              <w:left w:val="nil"/>
              <w:bottom w:val="single" w:sz="8" w:space="0" w:color="A2C4E0"/>
              <w:right w:val="single" w:sz="8" w:space="0" w:color="A2C4E0"/>
            </w:tcBorders>
            <w:shd w:val="clear" w:color="auto" w:fill="auto"/>
            <w:noWrap/>
            <w:vAlign w:val="center"/>
            <w:hideMark/>
          </w:tcPr>
          <w:p w14:paraId="47506075"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262</w:t>
            </w:r>
          </w:p>
        </w:tc>
        <w:tc>
          <w:tcPr>
            <w:tcW w:w="1126" w:type="dxa"/>
            <w:tcBorders>
              <w:top w:val="nil"/>
              <w:left w:val="nil"/>
              <w:bottom w:val="single" w:sz="8" w:space="0" w:color="A2C4E0"/>
              <w:right w:val="single" w:sz="8" w:space="0" w:color="auto"/>
            </w:tcBorders>
            <w:shd w:val="clear" w:color="000000" w:fill="F2F1F1"/>
            <w:noWrap/>
            <w:vAlign w:val="center"/>
            <w:hideMark/>
          </w:tcPr>
          <w:p w14:paraId="719151B3"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858</w:t>
            </w:r>
          </w:p>
        </w:tc>
        <w:tc>
          <w:tcPr>
            <w:tcW w:w="476" w:type="dxa"/>
            <w:tcBorders>
              <w:top w:val="nil"/>
              <w:left w:val="nil"/>
              <w:bottom w:val="nil"/>
              <w:right w:val="nil"/>
            </w:tcBorders>
            <w:shd w:val="clear" w:color="auto" w:fill="auto"/>
            <w:noWrap/>
            <w:vAlign w:val="bottom"/>
            <w:hideMark/>
          </w:tcPr>
          <w:p w14:paraId="6EF84120" w14:textId="77777777" w:rsidR="00A32A92" w:rsidRPr="00933FBC" w:rsidRDefault="00A32A92" w:rsidP="008B4EAF">
            <w:pPr>
              <w:jc w:val="both"/>
              <w:rPr>
                <w:rFonts w:cs="Tahoma"/>
                <w:b/>
                <w:bCs/>
                <w:color w:val="000000"/>
                <w:sz w:val="16"/>
                <w:szCs w:val="16"/>
              </w:rPr>
            </w:pPr>
          </w:p>
        </w:tc>
        <w:tc>
          <w:tcPr>
            <w:tcW w:w="1733" w:type="dxa"/>
            <w:tcBorders>
              <w:top w:val="nil"/>
              <w:left w:val="single" w:sz="8" w:space="0" w:color="auto"/>
              <w:bottom w:val="single" w:sz="8" w:space="0" w:color="93B1CD"/>
              <w:right w:val="single" w:sz="8" w:space="0" w:color="93B1CD"/>
            </w:tcBorders>
            <w:shd w:val="clear" w:color="000000" w:fill="BFD2E2"/>
            <w:noWrap/>
            <w:vAlign w:val="center"/>
            <w:hideMark/>
          </w:tcPr>
          <w:p w14:paraId="44E767A1" w14:textId="77777777" w:rsidR="00A32A92" w:rsidRPr="00933FBC" w:rsidRDefault="00A32A92" w:rsidP="008B4EAF">
            <w:pPr>
              <w:jc w:val="both"/>
              <w:rPr>
                <w:rFonts w:cs="Tahoma"/>
                <w:color w:val="000000"/>
                <w:sz w:val="16"/>
                <w:szCs w:val="16"/>
              </w:rPr>
            </w:pPr>
            <w:r w:rsidRPr="00933FBC">
              <w:rPr>
                <w:rFonts w:cs="Tahoma"/>
                <w:color w:val="000000"/>
                <w:sz w:val="16"/>
                <w:szCs w:val="16"/>
              </w:rPr>
              <w:t>Rinnan tmp</w:t>
            </w:r>
          </w:p>
        </w:tc>
        <w:tc>
          <w:tcPr>
            <w:tcW w:w="1126" w:type="dxa"/>
            <w:tcBorders>
              <w:top w:val="nil"/>
              <w:left w:val="nil"/>
              <w:bottom w:val="nil"/>
              <w:right w:val="nil"/>
            </w:tcBorders>
            <w:shd w:val="clear" w:color="auto" w:fill="auto"/>
            <w:noWrap/>
            <w:vAlign w:val="center"/>
            <w:hideMark/>
          </w:tcPr>
          <w:p w14:paraId="7C7F60D4" w14:textId="7985D0B0" w:rsidR="00A32A92" w:rsidRPr="00933FBC" w:rsidRDefault="00EC5CC9" w:rsidP="008B4EAF">
            <w:pPr>
              <w:jc w:val="both"/>
              <w:rPr>
                <w:rFonts w:cs="Tahoma"/>
                <w:b/>
                <w:bCs/>
                <w:color w:val="000000"/>
                <w:sz w:val="16"/>
                <w:szCs w:val="16"/>
              </w:rPr>
            </w:pPr>
            <w:r w:rsidRPr="00EC5CC9">
              <w:rPr>
                <w:rFonts w:cs="Tahoma"/>
                <w:b/>
                <w:bCs/>
                <w:color w:val="000000"/>
                <w:sz w:val="16"/>
                <w:szCs w:val="16"/>
              </w:rPr>
              <w:t>1</w:t>
            </w:r>
            <w:r>
              <w:rPr>
                <w:rFonts w:cs="Tahoma"/>
                <w:b/>
                <w:bCs/>
                <w:color w:val="000000"/>
                <w:sz w:val="16"/>
                <w:szCs w:val="16"/>
              </w:rPr>
              <w:t xml:space="preserve"> </w:t>
            </w:r>
            <w:r w:rsidRPr="00EC5CC9">
              <w:rPr>
                <w:rFonts w:cs="Tahoma"/>
                <w:b/>
                <w:bCs/>
                <w:color w:val="000000"/>
                <w:sz w:val="16"/>
                <w:szCs w:val="16"/>
              </w:rPr>
              <w:t>5</w:t>
            </w:r>
            <w:r w:rsidR="00157DCA">
              <w:rPr>
                <w:rFonts w:cs="Tahoma"/>
                <w:b/>
                <w:bCs/>
                <w:color w:val="000000"/>
                <w:sz w:val="16"/>
                <w:szCs w:val="16"/>
              </w:rPr>
              <w:t>84</w:t>
            </w:r>
          </w:p>
        </w:tc>
        <w:tc>
          <w:tcPr>
            <w:tcW w:w="1126" w:type="dxa"/>
            <w:tcBorders>
              <w:top w:val="nil"/>
              <w:left w:val="nil"/>
              <w:bottom w:val="nil"/>
              <w:right w:val="nil"/>
            </w:tcBorders>
            <w:shd w:val="clear" w:color="auto" w:fill="auto"/>
            <w:noWrap/>
            <w:vAlign w:val="center"/>
            <w:hideMark/>
          </w:tcPr>
          <w:p w14:paraId="3DB2A0F3" w14:textId="318338A1" w:rsidR="00A32A92" w:rsidRPr="00933FBC" w:rsidRDefault="00EC5CC9" w:rsidP="008B4EAF">
            <w:pPr>
              <w:jc w:val="both"/>
              <w:rPr>
                <w:rFonts w:cs="Tahoma"/>
                <w:b/>
                <w:bCs/>
                <w:color w:val="000000"/>
                <w:sz w:val="16"/>
                <w:szCs w:val="16"/>
              </w:rPr>
            </w:pPr>
            <w:r>
              <w:rPr>
                <w:rFonts w:cs="Tahoma"/>
                <w:b/>
                <w:bCs/>
                <w:color w:val="000000"/>
                <w:sz w:val="16"/>
                <w:szCs w:val="16"/>
              </w:rPr>
              <w:t>1</w:t>
            </w:r>
            <w:r w:rsidR="00157DCA">
              <w:rPr>
                <w:rFonts w:cs="Tahoma"/>
                <w:b/>
                <w:bCs/>
                <w:color w:val="000000"/>
                <w:sz w:val="16"/>
                <w:szCs w:val="16"/>
              </w:rPr>
              <w:t>20</w:t>
            </w:r>
          </w:p>
        </w:tc>
        <w:tc>
          <w:tcPr>
            <w:tcW w:w="1126" w:type="dxa"/>
            <w:tcBorders>
              <w:top w:val="nil"/>
              <w:left w:val="single" w:sz="8" w:space="0" w:color="A2C4E0"/>
              <w:bottom w:val="single" w:sz="8" w:space="0" w:color="A2C4E0"/>
              <w:right w:val="single" w:sz="8" w:space="0" w:color="auto"/>
            </w:tcBorders>
            <w:shd w:val="clear" w:color="000000" w:fill="DFDFDF"/>
            <w:noWrap/>
            <w:vAlign w:val="center"/>
            <w:hideMark/>
          </w:tcPr>
          <w:p w14:paraId="08D54E8A" w14:textId="188EFEA7" w:rsidR="00A32A92" w:rsidRPr="00933FBC" w:rsidRDefault="00157DCA" w:rsidP="008B4EAF">
            <w:pPr>
              <w:jc w:val="both"/>
              <w:rPr>
                <w:rFonts w:cs="Tahoma"/>
                <w:b/>
                <w:bCs/>
                <w:color w:val="000000"/>
                <w:sz w:val="16"/>
                <w:szCs w:val="16"/>
              </w:rPr>
            </w:pPr>
            <w:r>
              <w:rPr>
                <w:rFonts w:cs="Tahoma"/>
                <w:b/>
                <w:bCs/>
                <w:color w:val="000000"/>
                <w:sz w:val="16"/>
                <w:szCs w:val="16"/>
              </w:rPr>
              <w:t>1 704</w:t>
            </w:r>
          </w:p>
        </w:tc>
      </w:tr>
      <w:tr w:rsidR="00A32A92" w:rsidRPr="00933FBC" w14:paraId="7674101C" w14:textId="77777777" w:rsidTr="008B4EAF">
        <w:trPr>
          <w:trHeight w:val="284"/>
        </w:trPr>
        <w:tc>
          <w:tcPr>
            <w:tcW w:w="1126" w:type="dxa"/>
            <w:tcBorders>
              <w:top w:val="nil"/>
              <w:left w:val="single" w:sz="8" w:space="0" w:color="auto"/>
              <w:bottom w:val="single" w:sz="8" w:space="0" w:color="auto"/>
              <w:right w:val="single" w:sz="8" w:space="0" w:color="93B1CD"/>
            </w:tcBorders>
            <w:shd w:val="clear" w:color="000000" w:fill="DFDFDF"/>
            <w:noWrap/>
            <w:vAlign w:val="center"/>
            <w:hideMark/>
          </w:tcPr>
          <w:p w14:paraId="09752DEC"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Summa</w:t>
            </w:r>
          </w:p>
        </w:tc>
        <w:tc>
          <w:tcPr>
            <w:tcW w:w="1126" w:type="dxa"/>
            <w:tcBorders>
              <w:top w:val="nil"/>
              <w:left w:val="nil"/>
              <w:bottom w:val="single" w:sz="8" w:space="0" w:color="auto"/>
              <w:right w:val="single" w:sz="8" w:space="0" w:color="A2C4E0"/>
            </w:tcBorders>
            <w:shd w:val="clear" w:color="000000" w:fill="DFDFDF"/>
            <w:noWrap/>
            <w:vAlign w:val="center"/>
            <w:hideMark/>
          </w:tcPr>
          <w:p w14:paraId="6F6F65DD" w14:textId="463D6755" w:rsidR="00A32A92" w:rsidRPr="00933FBC" w:rsidRDefault="007D2674" w:rsidP="008B4EAF">
            <w:pPr>
              <w:jc w:val="both"/>
              <w:rPr>
                <w:rFonts w:cs="Tahoma"/>
                <w:b/>
                <w:bCs/>
                <w:color w:val="000000"/>
                <w:sz w:val="16"/>
                <w:szCs w:val="16"/>
              </w:rPr>
            </w:pPr>
            <w:r>
              <w:rPr>
                <w:rFonts w:cs="Tahoma"/>
                <w:b/>
                <w:bCs/>
                <w:color w:val="000000"/>
                <w:sz w:val="16"/>
                <w:szCs w:val="16"/>
              </w:rPr>
              <w:t>119 003</w:t>
            </w:r>
          </w:p>
        </w:tc>
        <w:tc>
          <w:tcPr>
            <w:tcW w:w="1126" w:type="dxa"/>
            <w:tcBorders>
              <w:top w:val="nil"/>
              <w:left w:val="nil"/>
              <w:bottom w:val="single" w:sz="8" w:space="0" w:color="auto"/>
              <w:right w:val="single" w:sz="8" w:space="0" w:color="A2C4E0"/>
            </w:tcBorders>
            <w:shd w:val="clear" w:color="000000" w:fill="DFDFDF"/>
            <w:noWrap/>
            <w:vAlign w:val="center"/>
            <w:hideMark/>
          </w:tcPr>
          <w:p w14:paraId="1FA3B2CB" w14:textId="226FD067" w:rsidR="00A32A92" w:rsidRPr="00933FBC" w:rsidRDefault="007D2674" w:rsidP="008B4EAF">
            <w:pPr>
              <w:jc w:val="both"/>
              <w:rPr>
                <w:rFonts w:cs="Tahoma"/>
                <w:b/>
                <w:bCs/>
                <w:color w:val="000000"/>
                <w:sz w:val="16"/>
                <w:szCs w:val="16"/>
              </w:rPr>
            </w:pPr>
            <w:r>
              <w:rPr>
                <w:rFonts w:cs="Tahoma"/>
                <w:b/>
                <w:bCs/>
                <w:color w:val="000000"/>
                <w:sz w:val="16"/>
                <w:szCs w:val="16"/>
              </w:rPr>
              <w:t>98 614</w:t>
            </w:r>
          </w:p>
        </w:tc>
        <w:tc>
          <w:tcPr>
            <w:tcW w:w="1126" w:type="dxa"/>
            <w:tcBorders>
              <w:top w:val="nil"/>
              <w:left w:val="nil"/>
              <w:bottom w:val="single" w:sz="8" w:space="0" w:color="auto"/>
              <w:right w:val="single" w:sz="8" w:space="0" w:color="auto"/>
            </w:tcBorders>
            <w:shd w:val="clear" w:color="000000" w:fill="DFDFDF"/>
            <w:noWrap/>
            <w:vAlign w:val="center"/>
            <w:hideMark/>
          </w:tcPr>
          <w:p w14:paraId="660ED19D" w14:textId="23AA135C" w:rsidR="00A32A92" w:rsidRPr="00933FBC" w:rsidRDefault="007D2674" w:rsidP="008B4EAF">
            <w:pPr>
              <w:jc w:val="both"/>
              <w:rPr>
                <w:rFonts w:cs="Tahoma"/>
                <w:b/>
                <w:bCs/>
                <w:color w:val="000000"/>
                <w:sz w:val="16"/>
                <w:szCs w:val="16"/>
              </w:rPr>
            </w:pPr>
            <w:r>
              <w:rPr>
                <w:rFonts w:cs="Tahoma"/>
                <w:b/>
                <w:bCs/>
                <w:color w:val="000000"/>
                <w:sz w:val="16"/>
                <w:szCs w:val="16"/>
              </w:rPr>
              <w:t>217 617</w:t>
            </w:r>
          </w:p>
        </w:tc>
        <w:tc>
          <w:tcPr>
            <w:tcW w:w="476" w:type="dxa"/>
            <w:tcBorders>
              <w:top w:val="nil"/>
              <w:left w:val="nil"/>
              <w:bottom w:val="nil"/>
              <w:right w:val="nil"/>
            </w:tcBorders>
            <w:shd w:val="clear" w:color="auto" w:fill="auto"/>
            <w:noWrap/>
            <w:vAlign w:val="bottom"/>
            <w:hideMark/>
          </w:tcPr>
          <w:p w14:paraId="618C52E5" w14:textId="77777777" w:rsidR="00A32A92" w:rsidRPr="00933FBC" w:rsidRDefault="00A32A92" w:rsidP="008B4EAF">
            <w:pPr>
              <w:jc w:val="both"/>
              <w:rPr>
                <w:rFonts w:cs="Tahoma"/>
                <w:b/>
                <w:bCs/>
                <w:color w:val="000000"/>
                <w:sz w:val="16"/>
                <w:szCs w:val="16"/>
              </w:rPr>
            </w:pPr>
          </w:p>
        </w:tc>
        <w:tc>
          <w:tcPr>
            <w:tcW w:w="1733" w:type="dxa"/>
            <w:tcBorders>
              <w:top w:val="nil"/>
              <w:left w:val="single" w:sz="8" w:space="0" w:color="auto"/>
              <w:bottom w:val="single" w:sz="8" w:space="0" w:color="auto"/>
              <w:right w:val="single" w:sz="8" w:space="0" w:color="93B1CD"/>
            </w:tcBorders>
            <w:shd w:val="clear" w:color="000000" w:fill="DFDFDF"/>
            <w:noWrap/>
            <w:vAlign w:val="center"/>
            <w:hideMark/>
          </w:tcPr>
          <w:p w14:paraId="5F54F361" w14:textId="77777777" w:rsidR="00A32A92" w:rsidRPr="00933FBC" w:rsidRDefault="00A32A92" w:rsidP="008B4EAF">
            <w:pPr>
              <w:jc w:val="both"/>
              <w:rPr>
                <w:rFonts w:cs="Tahoma"/>
                <w:b/>
                <w:bCs/>
                <w:color w:val="000000"/>
                <w:sz w:val="16"/>
                <w:szCs w:val="16"/>
              </w:rPr>
            </w:pPr>
            <w:r w:rsidRPr="00933FBC">
              <w:rPr>
                <w:rFonts w:cs="Tahoma"/>
                <w:b/>
                <w:bCs/>
                <w:color w:val="000000"/>
                <w:sz w:val="16"/>
                <w:szCs w:val="16"/>
              </w:rPr>
              <w:t>Summa</w:t>
            </w:r>
          </w:p>
        </w:tc>
        <w:tc>
          <w:tcPr>
            <w:tcW w:w="1126" w:type="dxa"/>
            <w:tcBorders>
              <w:top w:val="nil"/>
              <w:left w:val="nil"/>
              <w:bottom w:val="single" w:sz="8" w:space="0" w:color="auto"/>
              <w:right w:val="single" w:sz="8" w:space="0" w:color="A2C4E0"/>
            </w:tcBorders>
            <w:shd w:val="clear" w:color="000000" w:fill="DFDFDF"/>
            <w:noWrap/>
            <w:vAlign w:val="center"/>
            <w:hideMark/>
          </w:tcPr>
          <w:p w14:paraId="5909C86C" w14:textId="0BA098F4" w:rsidR="00A32A92" w:rsidRPr="00933FBC" w:rsidRDefault="00157DCA" w:rsidP="008B4EAF">
            <w:pPr>
              <w:jc w:val="both"/>
              <w:rPr>
                <w:rFonts w:cs="Tahoma"/>
                <w:b/>
                <w:bCs/>
                <w:color w:val="000000"/>
                <w:sz w:val="16"/>
                <w:szCs w:val="16"/>
              </w:rPr>
            </w:pPr>
            <w:r>
              <w:rPr>
                <w:rFonts w:cs="Tahoma"/>
                <w:b/>
                <w:bCs/>
                <w:color w:val="000000"/>
                <w:sz w:val="16"/>
                <w:szCs w:val="16"/>
              </w:rPr>
              <w:t>3 196</w:t>
            </w:r>
          </w:p>
        </w:tc>
        <w:tc>
          <w:tcPr>
            <w:tcW w:w="1126" w:type="dxa"/>
            <w:tcBorders>
              <w:top w:val="nil"/>
              <w:left w:val="nil"/>
              <w:bottom w:val="single" w:sz="8" w:space="0" w:color="auto"/>
              <w:right w:val="single" w:sz="8" w:space="0" w:color="A2C4E0"/>
            </w:tcBorders>
            <w:shd w:val="clear" w:color="000000" w:fill="DFDFDF"/>
            <w:noWrap/>
            <w:vAlign w:val="center"/>
            <w:hideMark/>
          </w:tcPr>
          <w:p w14:paraId="675ABE8F" w14:textId="566D89EB" w:rsidR="00A32A92" w:rsidRPr="00933FBC" w:rsidRDefault="00157DCA" w:rsidP="008B4EAF">
            <w:pPr>
              <w:jc w:val="both"/>
              <w:rPr>
                <w:rFonts w:cs="Tahoma"/>
                <w:b/>
                <w:bCs/>
                <w:color w:val="000000"/>
                <w:sz w:val="16"/>
                <w:szCs w:val="16"/>
              </w:rPr>
            </w:pPr>
            <w:r>
              <w:rPr>
                <w:rFonts w:cs="Tahoma"/>
                <w:b/>
                <w:bCs/>
                <w:color w:val="000000"/>
                <w:sz w:val="16"/>
                <w:szCs w:val="16"/>
              </w:rPr>
              <w:t>1 160</w:t>
            </w:r>
          </w:p>
        </w:tc>
        <w:tc>
          <w:tcPr>
            <w:tcW w:w="1126" w:type="dxa"/>
            <w:tcBorders>
              <w:top w:val="nil"/>
              <w:left w:val="nil"/>
              <w:bottom w:val="single" w:sz="8" w:space="0" w:color="auto"/>
              <w:right w:val="single" w:sz="8" w:space="0" w:color="auto"/>
            </w:tcBorders>
            <w:shd w:val="clear" w:color="000000" w:fill="DFDFDF"/>
            <w:noWrap/>
            <w:vAlign w:val="center"/>
            <w:hideMark/>
          </w:tcPr>
          <w:p w14:paraId="1F4D604C" w14:textId="6790F5E8" w:rsidR="00A32A92" w:rsidRPr="00933FBC" w:rsidRDefault="00157DCA" w:rsidP="008B4EAF">
            <w:pPr>
              <w:jc w:val="both"/>
              <w:rPr>
                <w:rFonts w:cs="Tahoma"/>
                <w:b/>
                <w:bCs/>
                <w:color w:val="000000"/>
                <w:sz w:val="16"/>
                <w:szCs w:val="16"/>
              </w:rPr>
            </w:pPr>
            <w:r>
              <w:rPr>
                <w:rFonts w:cs="Tahoma"/>
                <w:b/>
                <w:bCs/>
                <w:color w:val="000000"/>
                <w:sz w:val="16"/>
                <w:szCs w:val="16"/>
              </w:rPr>
              <w:t>4 356</w:t>
            </w:r>
          </w:p>
        </w:tc>
      </w:tr>
      <w:bookmarkEnd w:id="2"/>
    </w:tbl>
    <w:p w14:paraId="5D9AED78" w14:textId="77777777" w:rsidR="00A32A92" w:rsidRDefault="00A32A92" w:rsidP="00A32A92">
      <w:pPr>
        <w:spacing w:after="200"/>
        <w:jc w:val="both"/>
        <w:rPr>
          <w:rFonts w:eastAsia="Arial" w:cstheme="majorBidi"/>
          <w:iCs/>
          <w:sz w:val="18"/>
          <w:szCs w:val="18"/>
          <w:lang w:eastAsia="en-US"/>
        </w:rPr>
      </w:pPr>
    </w:p>
    <w:p w14:paraId="3C2CE2C1" w14:textId="77777777" w:rsidR="00A32A92" w:rsidRPr="00A32A92" w:rsidRDefault="00A32A92" w:rsidP="00A32A92">
      <w:pPr>
        <w:pStyle w:val="Otsikko10"/>
        <w:rPr>
          <w:rFonts w:ascii="Trebuchet MS" w:eastAsiaTheme="minorHAnsi" w:hAnsi="Trebuchet MS"/>
          <w:color w:val="auto"/>
          <w:lang w:eastAsia="en-US"/>
        </w:rPr>
      </w:pPr>
      <w:bookmarkStart w:id="3" w:name="_Toc187227190"/>
      <w:r w:rsidRPr="00A32A92">
        <w:rPr>
          <w:rFonts w:ascii="Trebuchet MS" w:eastAsiaTheme="minorHAnsi" w:hAnsi="Trebuchet MS"/>
          <w:color w:val="auto"/>
          <w:lang w:eastAsia="en-US"/>
        </w:rPr>
        <w:t>2. Yleiset toimet säteilyturvallisuuden varmistamiseksi ja säteilysuojelun optimoimiseksi</w:t>
      </w:r>
      <w:bookmarkEnd w:id="3"/>
    </w:p>
    <w:p w14:paraId="2103DEE8" w14:textId="0CE8E3A1"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Yleisen laadun varmistamiseksi toiminnanharjoittajan käytössä on ISO9001:2015 standardin mukainen toimintakäsikirja (laatukäsikirja), joka ulottuu myös kuvantamistoimintaan. Säteilyturvallisuuslaatukäsikirjassa on koottuna säteilytoiminnan perusteet sekä säteilytoimintaan liittyvät ohjeet ja suositukset. Tekniset laadunvarmistustoimenpiteet on määritelty laadunvarmistusohjelmassa, jota päivitetään määräajoin huomioiden uusimmat kansalliset ja kansainväliset suositukset. Laadunvarmistus on toteutettu yhteistyössä </w:t>
      </w:r>
      <w:r>
        <w:rPr>
          <w:rFonts w:eastAsiaTheme="minorHAnsi" w:cstheme="minorBidi"/>
          <w:lang w:eastAsia="en-US"/>
        </w:rPr>
        <w:t>Oysin</w:t>
      </w:r>
      <w:r w:rsidRPr="00760DC7">
        <w:rPr>
          <w:rFonts w:eastAsiaTheme="minorHAnsi" w:cstheme="minorBidi"/>
          <w:lang w:eastAsia="en-US"/>
        </w:rPr>
        <w:t xml:space="preserve"> röntgenlaitehuollon, röntgenhoitajien, sairaalafyysikoiden ja laitevalmistaj</w:t>
      </w:r>
      <w:r w:rsidR="004A1B4C">
        <w:rPr>
          <w:rFonts w:eastAsiaTheme="minorHAnsi" w:cstheme="minorBidi"/>
          <w:lang w:eastAsia="en-US"/>
        </w:rPr>
        <w:t>ie</w:t>
      </w:r>
      <w:r w:rsidRPr="00760DC7">
        <w:rPr>
          <w:rFonts w:eastAsiaTheme="minorHAnsi" w:cstheme="minorBidi"/>
          <w:lang w:eastAsia="en-US"/>
        </w:rPr>
        <w:t>n huollon toimesta.</w:t>
      </w:r>
      <w:r w:rsidRPr="00760DC7">
        <w:rPr>
          <w:rFonts w:asciiTheme="minorHAnsi" w:eastAsiaTheme="minorHAnsi" w:hAnsiTheme="minorHAnsi" w:cstheme="minorBidi"/>
          <w:lang w:eastAsia="en-US"/>
        </w:rPr>
        <w:t xml:space="preserve"> </w:t>
      </w:r>
      <w:r w:rsidRPr="00760DC7">
        <w:rPr>
          <w:rFonts w:eastAsiaTheme="minorHAnsi" w:cstheme="minorBidi"/>
          <w:lang w:eastAsia="en-US"/>
        </w:rPr>
        <w:t xml:space="preserve">Laadunvarmistuksen toteutumista seurataan erillisellä Excel-taulukoihin perustuvalla järjestelmällä, joka löytyy </w:t>
      </w:r>
      <w:r>
        <w:rPr>
          <w:rFonts w:eastAsiaTheme="minorHAnsi" w:cstheme="minorBidi"/>
          <w:lang w:eastAsia="en-US"/>
        </w:rPr>
        <w:t>Oysin</w:t>
      </w:r>
      <w:r w:rsidRPr="00760DC7">
        <w:rPr>
          <w:rFonts w:eastAsiaTheme="minorHAnsi" w:cstheme="minorBidi"/>
          <w:lang w:eastAsia="en-US"/>
        </w:rPr>
        <w:t xml:space="preserve"> intranetistä</w:t>
      </w:r>
      <w:r>
        <w:rPr>
          <w:rFonts w:eastAsiaTheme="minorHAnsi" w:cstheme="minorBidi"/>
          <w:lang w:eastAsia="en-US"/>
        </w:rPr>
        <w:t xml:space="preserve"> ja </w:t>
      </w:r>
      <w:r w:rsidR="004A1B4C">
        <w:rPr>
          <w:rFonts w:eastAsiaTheme="minorHAnsi" w:cstheme="minorBidi"/>
          <w:lang w:eastAsia="en-US"/>
        </w:rPr>
        <w:t>Teamsista</w:t>
      </w:r>
      <w:r>
        <w:rPr>
          <w:rFonts w:eastAsiaTheme="minorHAnsi" w:cstheme="minorBidi"/>
          <w:lang w:eastAsia="en-US"/>
        </w:rPr>
        <w:t xml:space="preserve"> (alueellinen toiminta)</w:t>
      </w:r>
      <w:r w:rsidRPr="00760DC7">
        <w:rPr>
          <w:rFonts w:eastAsiaTheme="minorHAnsi" w:cstheme="minorBidi"/>
          <w:lang w:eastAsia="en-US"/>
        </w:rPr>
        <w:t xml:space="preserve">. </w:t>
      </w:r>
    </w:p>
    <w:p w14:paraId="2C8B2720"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Säteilyturvallisuusasiantuntijoina (STA) ja lääketieteellisen fysiikan asiantuntijoina (LFA) toimivat toiminnanharjoittajan palveluksessa olevat sairaalafyysikot johtamisjärjestelmässä määriteltyjen vastuualueidensa mukaisesti. Säteilyturvallisuusvastaavana (STV) toimii </w:t>
      </w:r>
      <w:r>
        <w:rPr>
          <w:rFonts w:eastAsiaTheme="minorHAnsi" w:cstheme="minorBidi"/>
          <w:lang w:eastAsia="en-US"/>
        </w:rPr>
        <w:t>kuvantamisen vastuualue</w:t>
      </w:r>
      <w:r w:rsidRPr="00760DC7">
        <w:rPr>
          <w:rFonts w:eastAsiaTheme="minorHAnsi" w:cstheme="minorBidi"/>
          <w:lang w:eastAsia="en-US"/>
        </w:rPr>
        <w:t xml:space="preserve">johtaja, ylilääkäri </w:t>
      </w:r>
      <w:r>
        <w:rPr>
          <w:rFonts w:eastAsiaTheme="minorHAnsi" w:cstheme="minorBidi"/>
          <w:lang w:eastAsia="en-US"/>
        </w:rPr>
        <w:t>Markko Nikki</w:t>
      </w:r>
      <w:r w:rsidRPr="00760DC7">
        <w:rPr>
          <w:rFonts w:eastAsiaTheme="minorHAnsi" w:cstheme="minorBidi"/>
          <w:lang w:eastAsia="en-US"/>
        </w:rPr>
        <w:t xml:space="preserve">. Sijaisena toimii </w:t>
      </w:r>
      <w:r>
        <w:rPr>
          <w:rFonts w:eastAsiaTheme="minorHAnsi" w:cstheme="minorBidi"/>
          <w:lang w:eastAsia="en-US"/>
        </w:rPr>
        <w:t>hallinnollinen apulaisylilääkäri</w:t>
      </w:r>
      <w:r w:rsidRPr="00760DC7">
        <w:rPr>
          <w:rFonts w:eastAsiaTheme="minorHAnsi" w:cstheme="minorBidi"/>
          <w:lang w:eastAsia="en-US"/>
        </w:rPr>
        <w:t xml:space="preserve"> </w:t>
      </w:r>
      <w:r>
        <w:rPr>
          <w:rFonts w:eastAsiaTheme="minorHAnsi" w:cstheme="minorBidi"/>
          <w:lang w:eastAsia="en-US"/>
        </w:rPr>
        <w:t>Elias Vaattovaara</w:t>
      </w:r>
      <w:r w:rsidRPr="00760DC7">
        <w:rPr>
          <w:rFonts w:eastAsiaTheme="minorHAnsi" w:cstheme="minorBidi"/>
          <w:lang w:eastAsia="en-US"/>
        </w:rPr>
        <w:t xml:space="preserve">. Kuvantamisen </w:t>
      </w:r>
      <w:r>
        <w:rPr>
          <w:rFonts w:eastAsiaTheme="minorHAnsi" w:cstheme="minorBidi"/>
          <w:lang w:eastAsia="en-US"/>
        </w:rPr>
        <w:t>vastuu</w:t>
      </w:r>
      <w:r w:rsidRPr="00760DC7">
        <w:rPr>
          <w:rFonts w:eastAsiaTheme="minorHAnsi" w:cstheme="minorBidi"/>
          <w:lang w:eastAsia="en-US"/>
        </w:rPr>
        <w:t>alueen säteilytoiminnan johtamisjärjestelmässä kuvataan tarkemmin säteilytoimintaan osallistuvien tehtävät ja vastuut.</w:t>
      </w:r>
    </w:p>
    <w:p w14:paraId="7168BCFB"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lastRenderedPageBreak/>
        <w:t>Kuvaushuoneiden kulunvalvonta on toteutettu niin, että kuvaushuoneeseen ei tule sivullisia silloin, kun säteilytys on käynnissä. Säteilytiloihin johtavilla ovilla on varoitusmerkit ja/tai valot sekä soveltuvin osin raskauskyltit fertiili-ikäisiä naispuolisia potilaita varten. Laitteiden vaatimuksenmukaisuus varmistetaan laitteita vastaanotettaessa ja ylläpidetään huoltoprosessin kautta (huoltosopimukset, röntgenlaitehuolto ja fyysikkovastuut). Kuvaustilojen rakenteelliset säteilysuojaukset ovat määräysten mukaisia. Henkilökunnan säteilysuojaukseen on käytössä liikuteltavia ja päälle puettavia säteilysuojaimia sekä muita lisäsuojia.</w:t>
      </w:r>
    </w:p>
    <w:p w14:paraId="5A26D887"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Laitteissa havaituista poikkeamista otetaan yhteyttä modaliteettivastuufyysikkoon ja röntgenlaitehuoltoon</w:t>
      </w:r>
      <w:r>
        <w:rPr>
          <w:rFonts w:eastAsiaTheme="minorHAnsi" w:cstheme="minorBidi"/>
          <w:lang w:eastAsia="en-US"/>
        </w:rPr>
        <w:t xml:space="preserve"> tai</w:t>
      </w:r>
      <w:r w:rsidRPr="00760DC7">
        <w:rPr>
          <w:rFonts w:eastAsiaTheme="minorHAnsi" w:cstheme="minorBidi"/>
          <w:lang w:eastAsia="en-US"/>
        </w:rPr>
        <w:t xml:space="preserve"> </w:t>
      </w:r>
      <w:r w:rsidRPr="008B3D0C">
        <w:rPr>
          <w:rFonts w:eastAsiaTheme="minorHAnsi" w:cstheme="minorBidi"/>
          <w:lang w:eastAsia="en-US"/>
        </w:rPr>
        <w:t>laitteen huolto-organisaation edustajaa</w:t>
      </w:r>
      <w:r>
        <w:rPr>
          <w:rFonts w:eastAsiaTheme="minorHAnsi" w:cstheme="minorBidi"/>
          <w:lang w:eastAsia="en-US"/>
        </w:rPr>
        <w:t>n</w:t>
      </w:r>
      <w:r w:rsidRPr="008B3D0C">
        <w:rPr>
          <w:rFonts w:eastAsiaTheme="minorHAnsi" w:cstheme="minorBidi"/>
          <w:lang w:eastAsia="en-US"/>
        </w:rPr>
        <w:t xml:space="preserve"> </w:t>
      </w:r>
      <w:r w:rsidRPr="00760DC7">
        <w:rPr>
          <w:rFonts w:eastAsiaTheme="minorHAnsi" w:cstheme="minorBidi"/>
          <w:lang w:eastAsia="en-US"/>
        </w:rPr>
        <w:t xml:space="preserve">sekä tarvittaessa laitetoimittajaan vian selvittämiseksi ja korjaamiseksi. </w:t>
      </w:r>
      <w:r>
        <w:rPr>
          <w:rFonts w:eastAsiaTheme="minorHAnsi" w:cstheme="minorBidi"/>
          <w:lang w:eastAsia="en-US"/>
        </w:rPr>
        <w:t>Oysin</w:t>
      </w:r>
      <w:r w:rsidRPr="00760DC7">
        <w:rPr>
          <w:rFonts w:eastAsiaTheme="minorHAnsi" w:cstheme="minorBidi"/>
          <w:lang w:eastAsia="en-US"/>
        </w:rPr>
        <w:t xml:space="preserve"> omat röntgenlaitehuollon sairaalainsinöörit</w:t>
      </w:r>
      <w:r>
        <w:rPr>
          <w:rFonts w:eastAsiaTheme="minorHAnsi" w:cstheme="minorBidi"/>
          <w:lang w:eastAsia="en-US"/>
        </w:rPr>
        <w:t xml:space="preserve">, jotka ovat </w:t>
      </w:r>
      <w:r w:rsidRPr="00760DC7">
        <w:rPr>
          <w:rFonts w:eastAsiaTheme="minorHAnsi" w:cstheme="minorBidi"/>
          <w:lang w:eastAsia="en-US"/>
        </w:rPr>
        <w:t>saaneet laitetoimittajien tehdashuoltokoulutukset</w:t>
      </w:r>
      <w:r>
        <w:rPr>
          <w:rFonts w:eastAsiaTheme="minorHAnsi" w:cstheme="minorBidi"/>
          <w:lang w:eastAsia="en-US"/>
        </w:rPr>
        <w:t>,</w:t>
      </w:r>
      <w:r w:rsidRPr="00760DC7">
        <w:rPr>
          <w:rFonts w:eastAsiaTheme="minorHAnsi" w:cstheme="minorBidi"/>
          <w:lang w:eastAsia="en-US"/>
        </w:rPr>
        <w:t xml:space="preserve"> vastaavat röntgenlaitteiden vikakorjausten toteutuksesta. Tämä on osaltaan perustana nopeille röntgenlaitteiden vikakorjauksille ja säteilyturvalliselle toiminnalle. Mittaukset ja huollot laitteiden hyväksyttävyysvaatimusten mukaisen toiminnan varmistamiseksi toteutetaan laitetoimittajan huoltajan tai toiminnanharjoittajan sisäisen röntgenlaitehuollon toimesta.</w:t>
      </w:r>
    </w:p>
    <w:p w14:paraId="1F4D89E3"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Henkilökunnalle on olemassa säteilyn käytön perehdys- ja täydennyskoulutusohjelmat. Uuden säteilytyöntekijän perehdytys on kaksivaiheinen. Ensimmäisen vaiheen muodostaa tutustuminen toimialueen säteilynkäytön ohjeisiin ja toisen vaiheen muodostaa osasto- ja laitekohtainen perehdytys. Ohjelmaan kuuluu itseopiskelua, sisäistä ja alueellista koulutusta sekä ulkopuolista omaa työnkuvaa vastaavaa säteilysuojelukoulutusta. Henkilökunnalle järjestetään säännöllisesti säteilysuojelun</w:t>
      </w:r>
      <w:r w:rsidRPr="00760DC7">
        <w:rPr>
          <w:rFonts w:eastAsiaTheme="minorHAnsi" w:cstheme="minorBidi"/>
          <w:b/>
          <w:bCs/>
          <w:lang w:eastAsia="en-US"/>
        </w:rPr>
        <w:t xml:space="preserve"> </w:t>
      </w:r>
      <w:r w:rsidRPr="00760DC7">
        <w:rPr>
          <w:rFonts w:eastAsiaTheme="minorHAnsi" w:cstheme="minorBidi"/>
          <w:lang w:eastAsia="en-US"/>
        </w:rPr>
        <w:t>täydennyskoulutusta sekä kohdennettua käyttökoulutusta. Koulutusohjelman toteutumisesta pidetään kirjaa.</w:t>
      </w:r>
    </w:p>
    <w:p w14:paraId="7CAF90F1"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Säteilytyöntekijöiden altistukseen sovelletaan annosrajoja (ICRP / EU / STUK mukaisesti) ja säteilytyöntekijät on luokiteltu luokkaan A tai B määräysten ja ohjeiden mukaisesti. Henkilöannosseurannan tuloksia seurataan säännöllisesti ja mahdollisiin poikkeamiin puututaan kussakin yksikössä esimiesten ja säteilyvastuussa olevien </w:t>
      </w:r>
      <w:r>
        <w:rPr>
          <w:rFonts w:eastAsiaTheme="minorHAnsi" w:cstheme="minorBidi"/>
          <w:lang w:eastAsia="en-US"/>
        </w:rPr>
        <w:t>toimesta</w:t>
      </w:r>
      <w:r w:rsidRPr="00760DC7">
        <w:rPr>
          <w:rFonts w:eastAsiaTheme="minorHAnsi" w:cstheme="minorBidi"/>
          <w:lang w:eastAsia="en-US"/>
        </w:rPr>
        <w:t>. Henkilökunnan käytössä on aktiividosimetrit, joten työperäisten altistusten seuranta perustuu todelliseen annostietoon. Näin ollen työtapojen kehittämistä voidaan kohdistaa todellisen altistuksen lähteisiin ja ajanhetkiin.</w:t>
      </w:r>
    </w:p>
    <w:p w14:paraId="765878B1"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Potilaan säteilyaltistuksia seurataan säännöllisesti </w:t>
      </w:r>
      <w:r>
        <w:rPr>
          <w:rFonts w:eastAsiaTheme="minorHAnsi" w:cstheme="minorBidi"/>
          <w:lang w:eastAsia="en-US"/>
        </w:rPr>
        <w:t xml:space="preserve">Oysissa, Oulaskankaalla ja Raahessa </w:t>
      </w:r>
      <w:r w:rsidRPr="00760DC7">
        <w:rPr>
          <w:rFonts w:eastAsiaTheme="minorHAnsi" w:cstheme="minorBidi"/>
          <w:lang w:eastAsia="en-US"/>
        </w:rPr>
        <w:t>käytössä olevan annoskeräysohjelman avulla</w:t>
      </w:r>
      <w:r>
        <w:rPr>
          <w:rFonts w:eastAsiaTheme="minorHAnsi" w:cstheme="minorBidi"/>
          <w:lang w:eastAsia="en-US"/>
        </w:rPr>
        <w:t xml:space="preserve"> ja muissa yksiköissä manuaalisella keräyksellä. A</w:t>
      </w:r>
      <w:r w:rsidRPr="00760DC7">
        <w:rPr>
          <w:rFonts w:eastAsiaTheme="minorHAnsi" w:cstheme="minorBidi"/>
          <w:lang w:eastAsia="en-US"/>
        </w:rPr>
        <w:t xml:space="preserve">ltistuksille sovelletaan viranomaisen julkaisemia vertailutasoja, minkä lisäksi organisaatiolle on määritelty omia tiukempia sisäisiä vertailutasoja. Nimetyt ohjevastaavat pitävät yllä modaliteettikohtaisia tutkimus- ja laiteohjeita sekä lähettäville tahoille suunnattuja ohjeita. </w:t>
      </w:r>
      <w:r>
        <w:rPr>
          <w:rFonts w:eastAsiaTheme="minorHAnsi" w:cstheme="minorBidi"/>
          <w:lang w:eastAsia="en-US"/>
        </w:rPr>
        <w:t>Pohteen kuvantamisen vastuu</w:t>
      </w:r>
      <w:r w:rsidRPr="00760DC7">
        <w:rPr>
          <w:rFonts w:eastAsiaTheme="minorHAnsi" w:cstheme="minorBidi"/>
          <w:lang w:eastAsia="en-US"/>
        </w:rPr>
        <w:t>alue kantaa vastuuta koko</w:t>
      </w:r>
      <w:r>
        <w:rPr>
          <w:rFonts w:eastAsiaTheme="minorHAnsi" w:cstheme="minorBidi"/>
          <w:lang w:eastAsia="en-US"/>
        </w:rPr>
        <w:t xml:space="preserve"> yhteistoiminta-alueen</w:t>
      </w:r>
      <w:r w:rsidRPr="00760DC7">
        <w:rPr>
          <w:rFonts w:eastAsiaTheme="minorHAnsi" w:cstheme="minorBidi"/>
          <w:lang w:eastAsia="en-US"/>
        </w:rPr>
        <w:t xml:space="preserve"> säteilytoiminnasta tuottamalla koko alueelle yhtenäiset tutkimusohjeet, jolloin potilaan turhia tutkimuksia voidaan välttää. </w:t>
      </w:r>
    </w:p>
    <w:p w14:paraId="3B1B03FB"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Potilaan henkilöllisyyden varmistaminen on ohjeistettu. Tunnistaminen perustuu potilaan nimeen ja henkilötunnukseen. Ennen tutkimusta/toimenpidettä varmistetaan potilaan henkilöllisyys kysymällä häneltä henkilötunnus ja vertaamalla sitä lähetteessä oleviin henkilötietoihin. Mikäli potilas ei pysty itse ilmaisemaan henkilöllisyyttään, varmistetaan henkilötiedot rannekkeesta tai saattajalta. Mikäli ilman saattajaa olevalla sekavalla/tajuttomalla potilaalla ei ole ranneketta, pyydetään lähettävän yksikön henkilökuntaa tunnistamaan potilas. Potilaalta varmistetaan hänelle suunniteltu kuvaus tai toimenpide ja kuvattava puoli. </w:t>
      </w:r>
    </w:p>
    <w:p w14:paraId="16747A65"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lastRenderedPageBreak/>
        <w:t>Säteilyturvallisuuspoikkeamista tehdään ilmoitus kuvantamisen laatu</w:t>
      </w:r>
      <w:r>
        <w:rPr>
          <w:rFonts w:eastAsiaTheme="minorHAnsi" w:cstheme="minorBidi"/>
          <w:lang w:eastAsia="en-US"/>
        </w:rPr>
        <w:t>koordinaattorille ja vastuufyysikolle</w:t>
      </w:r>
      <w:r w:rsidRPr="00760DC7">
        <w:rPr>
          <w:rFonts w:eastAsiaTheme="minorHAnsi" w:cstheme="minorBidi"/>
          <w:lang w:eastAsia="en-US"/>
        </w:rPr>
        <w:t xml:space="preserve">. Säteilyturvallisuuspoikkeamien käsittely yksikössä tapahtuu välittömästi poikkeaman ilmoittamisen jälkeen. </w:t>
      </w:r>
      <w:r>
        <w:rPr>
          <w:rFonts w:eastAsiaTheme="minorHAnsi" w:cstheme="minorBidi"/>
          <w:lang w:eastAsia="en-US"/>
        </w:rPr>
        <w:t>Vastuufyysikko</w:t>
      </w:r>
      <w:r w:rsidRPr="00760DC7">
        <w:rPr>
          <w:rFonts w:eastAsiaTheme="minorHAnsi" w:cstheme="minorBidi"/>
          <w:lang w:eastAsia="en-US"/>
        </w:rPr>
        <w:t xml:space="preserve"> määrittää ylimääräisen annoksen suuruuden ja suunnittelee yhdessä yksikön henkilökunnan kanssa korjaavat toimenpiteet poikkeaman estämiseksi tulevaisuudessa.</w:t>
      </w:r>
      <w:r w:rsidRPr="008D1381">
        <w:rPr>
          <w:color w:val="000000"/>
          <w:sz w:val="27"/>
          <w:szCs w:val="27"/>
        </w:rPr>
        <w:t xml:space="preserve"> </w:t>
      </w:r>
      <w:r>
        <w:rPr>
          <w:rFonts w:eastAsiaTheme="minorHAnsi" w:cstheme="minorBidi"/>
          <w:lang w:eastAsia="en-US"/>
        </w:rPr>
        <w:t>Säteilyturvakeskukselle vuosittain koo</w:t>
      </w:r>
      <w:r w:rsidRPr="008D1381">
        <w:rPr>
          <w:rFonts w:eastAsiaTheme="minorHAnsi" w:cstheme="minorBidi"/>
          <w:lang w:eastAsia="en-US"/>
        </w:rPr>
        <w:t xml:space="preserve">tusti </w:t>
      </w:r>
      <w:r>
        <w:rPr>
          <w:rFonts w:eastAsiaTheme="minorHAnsi" w:cstheme="minorBidi"/>
          <w:lang w:eastAsia="en-US"/>
        </w:rPr>
        <w:t xml:space="preserve">ilmoitettavat </w:t>
      </w:r>
      <w:r w:rsidRPr="008D1381">
        <w:rPr>
          <w:rFonts w:eastAsiaTheme="minorHAnsi" w:cstheme="minorBidi"/>
          <w:lang w:eastAsia="en-US"/>
        </w:rPr>
        <w:t>säteilyturvalli</w:t>
      </w:r>
      <w:r>
        <w:rPr>
          <w:rFonts w:eastAsiaTheme="minorHAnsi" w:cstheme="minorBidi"/>
          <w:lang w:eastAsia="en-US"/>
        </w:rPr>
        <w:t>suuspoikkeamat ilmoittaa l</w:t>
      </w:r>
      <w:r w:rsidRPr="008D1381">
        <w:rPr>
          <w:rFonts w:eastAsiaTheme="minorHAnsi" w:cstheme="minorBidi"/>
          <w:lang w:eastAsia="en-US"/>
        </w:rPr>
        <w:t>aatukoordinaattori. Viipymättä il</w:t>
      </w:r>
      <w:r>
        <w:rPr>
          <w:rFonts w:eastAsiaTheme="minorHAnsi" w:cstheme="minorBidi"/>
          <w:lang w:eastAsia="en-US"/>
        </w:rPr>
        <w:t>moitettavan säteilyturvallisuus</w:t>
      </w:r>
      <w:r w:rsidRPr="008D1381">
        <w:rPr>
          <w:rFonts w:eastAsiaTheme="minorHAnsi" w:cstheme="minorBidi"/>
          <w:lang w:eastAsia="en-US"/>
        </w:rPr>
        <w:t xml:space="preserve">poikkeaman kriteerien täyttyessä kunkin modaliteetin vastuufyysikko </w:t>
      </w:r>
      <w:r>
        <w:rPr>
          <w:rFonts w:eastAsiaTheme="minorHAnsi" w:cstheme="minorBidi"/>
          <w:lang w:eastAsia="en-US"/>
        </w:rPr>
        <w:t>tekee ilmoituksen suoraan Sätei</w:t>
      </w:r>
      <w:r w:rsidRPr="008D1381">
        <w:rPr>
          <w:rFonts w:eastAsiaTheme="minorHAnsi" w:cstheme="minorBidi"/>
          <w:lang w:eastAsia="en-US"/>
        </w:rPr>
        <w:t>lyturvakeskukselle</w:t>
      </w:r>
      <w:r>
        <w:rPr>
          <w:rFonts w:eastAsiaTheme="minorHAnsi" w:cstheme="minorBidi"/>
          <w:lang w:eastAsia="en-US"/>
        </w:rPr>
        <w:t>.</w:t>
      </w:r>
      <w:r w:rsidRPr="00760DC7">
        <w:rPr>
          <w:rFonts w:eastAsiaTheme="minorHAnsi" w:cstheme="minorBidi"/>
          <w:lang w:eastAsia="en-US"/>
        </w:rPr>
        <w:t xml:space="preserve"> Säteilynkäyttöön liittyvän laitteen tai tarvikkeen aiheuttamasta vaaratilanteesta tehdään ilmoitus myös Fimealle.</w:t>
      </w:r>
    </w:p>
    <w:p w14:paraId="0D882FBD"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Säteilyn käyttöä arvioidaan säännöllisesti kliinisissä ulkoisissa auditoinneissa</w:t>
      </w:r>
      <w:r w:rsidRPr="00760DC7">
        <w:rPr>
          <w:rFonts w:eastAsiaTheme="minorHAnsi" w:cstheme="minorBidi"/>
          <w:b/>
          <w:bCs/>
          <w:lang w:eastAsia="en-US"/>
        </w:rPr>
        <w:t xml:space="preserve">, </w:t>
      </w:r>
      <w:r w:rsidRPr="00760DC7">
        <w:rPr>
          <w:rFonts w:eastAsiaTheme="minorHAnsi" w:cstheme="minorBidi"/>
          <w:lang w:eastAsia="en-US"/>
        </w:rPr>
        <w:t xml:space="preserve">muissa laatuarvioinneissa, sisäisissä kliinisissä auditoinneissa sekä itsearvioinneissa. </w:t>
      </w:r>
      <w:r>
        <w:rPr>
          <w:rFonts w:eastAsiaTheme="minorHAnsi" w:cstheme="minorBidi"/>
          <w:lang w:eastAsia="en-US"/>
        </w:rPr>
        <w:t xml:space="preserve">Sisäiset kliiniset auditoinnit tehdään koko Pohteen yhteistoiminta-alueen laajuisesti. </w:t>
      </w:r>
      <w:r w:rsidRPr="00760DC7">
        <w:rPr>
          <w:rFonts w:eastAsiaTheme="minorHAnsi" w:cstheme="minorBidi"/>
          <w:lang w:eastAsia="en-US"/>
        </w:rPr>
        <w:t>Arviointien tuloksia käytetään korjaavien toimenpiteiden ja jatkuvan parantamisen ohjaamiseksi ja toteuttamiseksi.</w:t>
      </w:r>
    </w:p>
    <w:p w14:paraId="3C9C1E3B"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Toiminnalle ominaisia säteilyriskejä, altistuksen suuruutta ja toimia riskien minimoimiseksi on arvioitu liitteenä olevassa riskitaulukossa.</w:t>
      </w:r>
    </w:p>
    <w:p w14:paraId="4C409C98" w14:textId="77777777" w:rsidR="00A32A92" w:rsidRPr="00760DC7" w:rsidRDefault="00A32A92" w:rsidP="00A32A92">
      <w:pPr>
        <w:spacing w:after="160" w:line="259" w:lineRule="auto"/>
        <w:jc w:val="both"/>
        <w:rPr>
          <w:rFonts w:eastAsiaTheme="minorHAnsi" w:cstheme="minorBidi"/>
          <w:lang w:eastAsia="en-US"/>
        </w:rPr>
      </w:pPr>
    </w:p>
    <w:p w14:paraId="65C440EB" w14:textId="77777777" w:rsidR="00A32A92" w:rsidRPr="00A32A92" w:rsidRDefault="00A32A92" w:rsidP="00A32A92">
      <w:pPr>
        <w:pStyle w:val="Otsikko10"/>
        <w:rPr>
          <w:rFonts w:ascii="Trebuchet MS" w:eastAsiaTheme="minorHAnsi" w:hAnsi="Trebuchet MS"/>
          <w:color w:val="auto"/>
          <w:lang w:eastAsia="en-US"/>
        </w:rPr>
      </w:pPr>
      <w:bookmarkStart w:id="4" w:name="_Toc187227191"/>
      <w:r w:rsidRPr="00A32A92">
        <w:rPr>
          <w:rFonts w:ascii="Trebuchet MS" w:eastAsiaTheme="minorHAnsi" w:hAnsi="Trebuchet MS"/>
          <w:color w:val="auto"/>
          <w:lang w:eastAsia="en-US"/>
        </w:rPr>
        <w:t>3. Lääketieteellinen säteilyaltistus</w:t>
      </w:r>
      <w:bookmarkEnd w:id="4"/>
    </w:p>
    <w:p w14:paraId="34FB5F13" w14:textId="77777777" w:rsidR="00A32A92"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Lääketieteellisten säteilyaltistusten luokat jakautuvat modaliteeteittain perustuen kunkin modaliteetin suurimpaan normaalitoiminnan sekä säteilyturvallisuuspoikkeamien potentiaaliseen efektiiviseen annokseen. Joissakin kohdissa on ilmoitettu myös muita annossuureita. Tukihenkilön (kiinnipitäjän) osalta lääketieteellinen altistus pidetään mahdollisimman pienenä erillisten suojien ja sijoittumiseen liittyvän ohjeistuksen avulla. Tukihenkilöille asetettu annosraja on 30 µSv, joka vastaa n. kolmea eksponointia/kuvaustapahtuma, kun arvioitu tukihenkilön annos on 10 µSv /eksponointi.</w:t>
      </w:r>
    </w:p>
    <w:p w14:paraId="2A7B1E5E" w14:textId="77777777" w:rsidR="00A32A92" w:rsidRPr="00760DC7" w:rsidRDefault="00A32A92" w:rsidP="00A32A92">
      <w:pPr>
        <w:spacing w:after="160"/>
        <w:jc w:val="both"/>
        <w:rPr>
          <w:rFonts w:eastAsiaTheme="minorHAnsi" w:cstheme="minorBidi"/>
          <w:lang w:eastAsia="en-US"/>
        </w:rPr>
      </w:pPr>
    </w:p>
    <w:p w14:paraId="5048B40B" w14:textId="77777777" w:rsidR="00A32A92" w:rsidRPr="00A32A92" w:rsidRDefault="00A32A92" w:rsidP="00A32A92">
      <w:pPr>
        <w:pStyle w:val="Otsikko20"/>
        <w:rPr>
          <w:rFonts w:ascii="Trebuchet MS" w:eastAsiaTheme="minorHAnsi" w:hAnsi="Trebuchet MS"/>
          <w:color w:val="auto"/>
          <w:lang w:eastAsia="en-US"/>
        </w:rPr>
      </w:pPr>
      <w:bookmarkStart w:id="5" w:name="_Toc187227192"/>
      <w:r w:rsidRPr="00A32A92">
        <w:rPr>
          <w:rFonts w:ascii="Trebuchet MS" w:eastAsiaTheme="minorHAnsi" w:hAnsi="Trebuchet MS"/>
          <w:color w:val="auto"/>
          <w:lang w:eastAsia="en-US"/>
        </w:rPr>
        <w:t>Tietokonetomografia</w:t>
      </w:r>
      <w:bookmarkEnd w:id="5"/>
    </w:p>
    <w:p w14:paraId="102FF72B"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Tietokonetomografiassa potilaan kuvanlaadun ja säteilyannoksen optimointi tehdään laitteen ominaisuudet (mm. kuvanlaskenta, putkivirranmodulointimenetelmät ja kV-valinnat) ja kuvauskohde huomioiden. Radiologi antaa jokaiseen tutkimukseen indikaatiopohjaiset ohjeet oikeutusarvioinnin ja optimoinnin toteutumiseksi.</w:t>
      </w:r>
      <w:r w:rsidRPr="00760DC7" w:rsidDel="00FF63DD">
        <w:rPr>
          <w:rFonts w:eastAsiaTheme="minorHAnsi" w:cstheme="minorBidi"/>
          <w:lang w:eastAsia="en-US"/>
        </w:rPr>
        <w:t xml:space="preserve"> </w:t>
      </w:r>
    </w:p>
    <w:p w14:paraId="1B29F90D"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Erittäin harvinaisissa tilanteissa kuvaushuoneeseen voi jäädä tukihenkilö, jonka säteilyaltistus minimoidaan käyttämällä henkilökohtaisia suojaimia, liikuteltavia suojia, osoittamalla turvallisin paikka laitteesta tulevan siroavan säteilyn suhteen tai näiden yhdistelmällä.</w:t>
      </w:r>
    </w:p>
    <w:p w14:paraId="763DC916" w14:textId="77777777" w:rsidR="00F96B8E"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Enimmillään saatava lääketieteellinen altistus potilaalle TT-kuvantamisesta kuuluu säteilyaltistusluokkaan 2 ja jakautuu kehonosien mukaan Taulukon 2 mukaisesti.</w:t>
      </w:r>
    </w:p>
    <w:p w14:paraId="3FF1779C" w14:textId="644CED70" w:rsidR="00A32A92" w:rsidRDefault="00A32A92" w:rsidP="00A32A92">
      <w:pPr>
        <w:spacing w:after="160" w:line="259" w:lineRule="auto"/>
        <w:jc w:val="both"/>
        <w:rPr>
          <w:rFonts w:eastAsiaTheme="minorEastAsia" w:cstheme="minorBidi"/>
          <w:lang w:eastAsia="en-US"/>
        </w:rPr>
      </w:pPr>
      <w:r>
        <w:rPr>
          <w:rFonts w:eastAsiaTheme="minorEastAsia" w:cstheme="minorBidi"/>
          <w:lang w:eastAsia="en-US"/>
        </w:rPr>
        <w:br w:type="page"/>
      </w:r>
    </w:p>
    <w:p w14:paraId="2D8677FC" w14:textId="44415328" w:rsidR="00A32A92" w:rsidRPr="00760DC7" w:rsidRDefault="00A32A92" w:rsidP="00A32A92">
      <w:pPr>
        <w:spacing w:after="160" w:line="259" w:lineRule="auto"/>
        <w:jc w:val="both"/>
        <w:rPr>
          <w:rFonts w:eastAsiaTheme="minorEastAsia" w:cstheme="minorBidi"/>
          <w:lang w:eastAsia="en-US"/>
        </w:rPr>
      </w:pPr>
      <w:r w:rsidRPr="0C11ACE2">
        <w:rPr>
          <w:rFonts w:eastAsiaTheme="minorEastAsia" w:cstheme="minorBidi"/>
          <w:lang w:eastAsia="en-US"/>
        </w:rPr>
        <w:lastRenderedPageBreak/>
        <w:t>Taulukko 2. Lääketieteelli</w:t>
      </w:r>
      <w:r>
        <w:rPr>
          <w:rFonts w:eastAsiaTheme="minorEastAsia" w:cstheme="minorBidi"/>
          <w:lang w:eastAsia="en-US"/>
        </w:rPr>
        <w:t>sen altistuksen enimmäisaltistus</w:t>
      </w:r>
      <w:r w:rsidRPr="0C11ACE2">
        <w:rPr>
          <w:rFonts w:eastAsiaTheme="minorEastAsia" w:cstheme="minorBidi"/>
          <w:lang w:eastAsia="en-US"/>
        </w:rPr>
        <w:t xml:space="preserve"> </w:t>
      </w:r>
      <w:r>
        <w:rPr>
          <w:rFonts w:eastAsiaTheme="minorEastAsia" w:cstheme="minorBidi"/>
          <w:lang w:eastAsia="en-US"/>
        </w:rPr>
        <w:t xml:space="preserve">efektiivisenä annoksena </w:t>
      </w:r>
      <w:r w:rsidRPr="0C11ACE2">
        <w:rPr>
          <w:rFonts w:eastAsiaTheme="minorEastAsia" w:cstheme="minorBidi"/>
          <w:lang w:eastAsia="en-US"/>
        </w:rPr>
        <w:t>tietokonetomografiatutkimuksista</w:t>
      </w:r>
      <w:r>
        <w:rPr>
          <w:rFonts w:eastAsiaTheme="minorEastAsia" w:cstheme="minorBidi"/>
          <w:lang w:eastAsia="en-US"/>
        </w:rPr>
        <w:t xml:space="preserve"> (OYS, OAS, RAS)</w:t>
      </w:r>
      <w:r w:rsidRPr="0C11ACE2">
        <w:rPr>
          <w:rFonts w:eastAsiaTheme="minorEastAsia" w:cstheme="minorBidi"/>
          <w:lang w:eastAsia="en-US"/>
        </w:rPr>
        <w:t xml:space="preserve"> vuosilta </w:t>
      </w:r>
      <w:r w:rsidR="00F96B8E">
        <w:rPr>
          <w:rFonts w:eastAsiaTheme="minorEastAsia" w:cstheme="minorBidi"/>
          <w:lang w:eastAsia="en-US"/>
        </w:rPr>
        <w:t>2020–2022</w:t>
      </w:r>
      <w:r w:rsidRPr="0C11ACE2">
        <w:rPr>
          <w:rFonts w:eastAsiaTheme="minorEastAsia" w:cstheme="minorBidi"/>
          <w:lang w:eastAsia="en-US"/>
        </w:rPr>
        <w:t xml:space="preserve">. </w:t>
      </w:r>
      <w:r>
        <w:rPr>
          <w:rFonts w:eastAsiaTheme="minorEastAsia" w:cstheme="minorBidi"/>
          <w:lang w:eastAsia="en-US"/>
        </w:rPr>
        <w:t>Tutkimuskoodi maksimiannokselle suluissa.</w:t>
      </w:r>
    </w:p>
    <w:tbl>
      <w:tblPr>
        <w:tblStyle w:val="Yksinkertainentaulukko311"/>
        <w:tblW w:w="0" w:type="auto"/>
        <w:tblLook w:val="04A0" w:firstRow="1" w:lastRow="0" w:firstColumn="1" w:lastColumn="0" w:noHBand="0" w:noVBand="1"/>
      </w:tblPr>
      <w:tblGrid>
        <w:gridCol w:w="3119"/>
        <w:gridCol w:w="3544"/>
      </w:tblGrid>
      <w:tr w:rsidR="00A32A92" w:rsidRPr="00760DC7" w14:paraId="78FDB6D2" w14:textId="77777777" w:rsidTr="008B4E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1AB5CFFF" w14:textId="77777777" w:rsidR="00A32A92" w:rsidRPr="00760DC7" w:rsidRDefault="00A32A92" w:rsidP="008B4EAF">
            <w:pPr>
              <w:jc w:val="both"/>
            </w:pPr>
            <w:r w:rsidRPr="00760DC7">
              <w:rPr>
                <w:caps w:val="0"/>
              </w:rPr>
              <w:t>Kuvausalue</w:t>
            </w:r>
          </w:p>
        </w:tc>
        <w:tc>
          <w:tcPr>
            <w:tcW w:w="3544" w:type="dxa"/>
          </w:tcPr>
          <w:p w14:paraId="4BF92E1F" w14:textId="77777777" w:rsidR="00A32A92" w:rsidRPr="00760DC7" w:rsidRDefault="00A32A92" w:rsidP="008B4EAF">
            <w:pPr>
              <w:cnfStyle w:val="100000000000" w:firstRow="1" w:lastRow="0" w:firstColumn="0" w:lastColumn="0" w:oddVBand="0" w:evenVBand="0" w:oddHBand="0" w:evenHBand="0" w:firstRowFirstColumn="0" w:firstRowLastColumn="0" w:lastRowFirstColumn="0" w:lastRowLastColumn="0"/>
            </w:pPr>
            <w:r w:rsidRPr="00760DC7">
              <w:rPr>
                <w:caps w:val="0"/>
              </w:rPr>
              <w:t>Lääketieteellisen</w:t>
            </w:r>
            <w:r>
              <w:rPr>
                <w:caps w:val="0"/>
              </w:rPr>
              <w:t xml:space="preserve"> enimmäisaltistuksen efektiivinen</w:t>
            </w:r>
            <w:r w:rsidRPr="00760DC7">
              <w:rPr>
                <w:caps w:val="0"/>
              </w:rPr>
              <w:t xml:space="preserve"> </w:t>
            </w:r>
            <w:r>
              <w:rPr>
                <w:caps w:val="0"/>
              </w:rPr>
              <w:t>annos</w:t>
            </w:r>
            <w:r w:rsidRPr="00760DC7">
              <w:rPr>
                <w:caps w:val="0"/>
              </w:rPr>
              <w:t xml:space="preserve">, ml. </w:t>
            </w:r>
            <w:r>
              <w:rPr>
                <w:caps w:val="0"/>
              </w:rPr>
              <w:t>p</w:t>
            </w:r>
            <w:r w:rsidRPr="00760DC7">
              <w:rPr>
                <w:caps w:val="0"/>
              </w:rPr>
              <w:t>oikkeustapahtumat</w:t>
            </w:r>
          </w:p>
          <w:p w14:paraId="316B35DA" w14:textId="77777777" w:rsidR="00A32A92" w:rsidRPr="00760DC7" w:rsidRDefault="00A32A92" w:rsidP="008B4EAF">
            <w:pPr>
              <w:cnfStyle w:val="100000000000" w:firstRow="1" w:lastRow="0" w:firstColumn="0" w:lastColumn="0" w:oddVBand="0" w:evenVBand="0" w:oddHBand="0" w:evenHBand="0" w:firstRowFirstColumn="0" w:firstRowLastColumn="0" w:lastRowFirstColumn="0" w:lastRowLastColumn="0"/>
            </w:pPr>
            <w:r w:rsidRPr="00760DC7">
              <w:rPr>
                <w:rFonts w:cs="Calibri"/>
              </w:rPr>
              <w:t>[</w:t>
            </w:r>
            <w:r>
              <w:rPr>
                <w:rFonts w:cs="Calibri"/>
                <w:caps w:val="0"/>
              </w:rPr>
              <w:t>mS</w:t>
            </w:r>
            <w:r w:rsidRPr="00760DC7">
              <w:rPr>
                <w:rFonts w:cs="Calibri"/>
                <w:caps w:val="0"/>
              </w:rPr>
              <w:t>v</w:t>
            </w:r>
            <w:r w:rsidRPr="00760DC7">
              <w:rPr>
                <w:rFonts w:cs="Calibri"/>
              </w:rPr>
              <w:t>]</w:t>
            </w:r>
          </w:p>
        </w:tc>
      </w:tr>
      <w:tr w:rsidR="00A32A92" w:rsidRPr="00760DC7" w14:paraId="7DC3687B" w14:textId="77777777" w:rsidTr="008B4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85B9332" w14:textId="77777777" w:rsidR="00A32A92" w:rsidRPr="00760DC7" w:rsidRDefault="00A32A92" w:rsidP="008B4EAF">
            <w:pPr>
              <w:jc w:val="both"/>
            </w:pPr>
            <w:r w:rsidRPr="00D31B9A">
              <w:rPr>
                <w:caps w:val="0"/>
              </w:rPr>
              <w:t>T</w:t>
            </w:r>
            <w:r>
              <w:rPr>
                <w:caps w:val="0"/>
              </w:rPr>
              <w:t xml:space="preserve">ietokonetomografia </w:t>
            </w:r>
            <w:r w:rsidRPr="00D31B9A">
              <w:rPr>
                <w:caps w:val="0"/>
              </w:rPr>
              <w:t>(JN4AD)</w:t>
            </w:r>
          </w:p>
        </w:tc>
        <w:tc>
          <w:tcPr>
            <w:tcW w:w="3544" w:type="dxa"/>
          </w:tcPr>
          <w:p w14:paraId="2C2AB736" w14:textId="77777777" w:rsidR="00A32A92" w:rsidRPr="00760DC7" w:rsidRDefault="00A32A92" w:rsidP="008B4EAF">
            <w:pPr>
              <w:jc w:val="both"/>
              <w:cnfStyle w:val="000000100000" w:firstRow="0" w:lastRow="0" w:firstColumn="0" w:lastColumn="0" w:oddVBand="0" w:evenVBand="0" w:oddHBand="1" w:evenHBand="0" w:firstRowFirstColumn="0" w:firstRowLastColumn="0" w:lastRowFirstColumn="0" w:lastRowLastColumn="0"/>
            </w:pPr>
            <w:r>
              <w:t>92</w:t>
            </w:r>
            <w:r w:rsidRPr="00760DC7">
              <w:t xml:space="preserve"> </w:t>
            </w:r>
          </w:p>
        </w:tc>
      </w:tr>
    </w:tbl>
    <w:p w14:paraId="4C8C3D08" w14:textId="77777777" w:rsidR="00A32A92" w:rsidRPr="00760DC7" w:rsidRDefault="00A32A92" w:rsidP="00A32A92">
      <w:pPr>
        <w:spacing w:after="160" w:line="259" w:lineRule="auto"/>
        <w:jc w:val="both"/>
        <w:rPr>
          <w:rFonts w:asciiTheme="minorHAnsi" w:eastAsiaTheme="minorHAnsi" w:hAnsiTheme="minorHAnsi" w:cstheme="minorBidi"/>
          <w:lang w:eastAsia="en-US"/>
        </w:rPr>
      </w:pPr>
    </w:p>
    <w:p w14:paraId="3B0E299C" w14:textId="77777777" w:rsidR="00A32A92" w:rsidRPr="00A32A92" w:rsidRDefault="00A32A92" w:rsidP="00A32A92">
      <w:pPr>
        <w:pStyle w:val="Otsikko20"/>
        <w:rPr>
          <w:rFonts w:ascii="Trebuchet MS" w:eastAsiaTheme="minorHAnsi" w:hAnsi="Trebuchet MS"/>
          <w:color w:val="auto"/>
          <w:lang w:eastAsia="en-US"/>
        </w:rPr>
      </w:pPr>
      <w:bookmarkStart w:id="6" w:name="_Toc187227193"/>
      <w:r w:rsidRPr="00A32A92">
        <w:rPr>
          <w:rFonts w:ascii="Trebuchet MS" w:eastAsiaTheme="minorHAnsi" w:hAnsi="Trebuchet MS"/>
          <w:color w:val="auto"/>
          <w:lang w:eastAsia="en-US"/>
        </w:rPr>
        <w:t>Hammas- ja raaja-KKTT</w:t>
      </w:r>
      <w:bookmarkEnd w:id="6"/>
    </w:p>
    <w:p w14:paraId="295F0703"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Hampaiston ja raajojen kartiokeilatietokonetomografiatutkimuksissa kuvanlaadun ja säteilyannoksen optimointi tehdään laitteen ominaisuudet (kV- ja mAs-valinnat) ja kuvauskohde huomioiden. Erillisiä henkilökohtaisia suojaimia voidaan käyttää tutkimuksissa siroavan säteilyn aiheuttaman säteilyaltistuksen vähentämiseksi.</w:t>
      </w:r>
    </w:p>
    <w:p w14:paraId="3D9CC08D"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Erittäin harvinaisissa tilanteissa kuvaushuoneeseen voi jäädä tukihenkilö, jonka säteilyaltistus minimoidaan käyttämällä henkilökohtaisia suojaimia, liikuteltavia suojia, osoittamalla turvallisin paikka laitteesta tulevan siroavan säteilyn suhteen, tai näiden yhdistelmällä.</w:t>
      </w:r>
    </w:p>
    <w:p w14:paraId="4193BF7C"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Hampaiston ja raajojen kartiokeilatutkimuksista saatava lääketieteellinen enimmäisaltistus on 1 mSv.</w:t>
      </w:r>
    </w:p>
    <w:p w14:paraId="5C25BEDA" w14:textId="77777777" w:rsidR="00A32A92" w:rsidRPr="00760DC7" w:rsidRDefault="00A32A92" w:rsidP="00A32A92">
      <w:pPr>
        <w:spacing w:after="160" w:line="259" w:lineRule="auto"/>
        <w:jc w:val="both"/>
        <w:rPr>
          <w:rFonts w:eastAsiaTheme="minorHAnsi" w:cstheme="minorBidi"/>
          <w:lang w:eastAsia="en-US"/>
        </w:rPr>
      </w:pPr>
    </w:p>
    <w:p w14:paraId="2F17A3FD" w14:textId="77777777" w:rsidR="00A32A92" w:rsidRPr="00A32A92" w:rsidRDefault="00A32A92" w:rsidP="00A32A92">
      <w:pPr>
        <w:pStyle w:val="Otsikko20"/>
        <w:rPr>
          <w:rFonts w:ascii="Trebuchet MS" w:eastAsiaTheme="minorHAnsi" w:hAnsi="Trebuchet MS"/>
          <w:color w:val="auto"/>
          <w:lang w:eastAsia="en-US"/>
        </w:rPr>
      </w:pPr>
      <w:bookmarkStart w:id="7" w:name="_Toc187227194"/>
      <w:r w:rsidRPr="00A32A92">
        <w:rPr>
          <w:rFonts w:ascii="Trebuchet MS" w:eastAsiaTheme="minorHAnsi" w:hAnsi="Trebuchet MS"/>
          <w:color w:val="auto"/>
          <w:lang w:eastAsia="en-US"/>
        </w:rPr>
        <w:t>Natiiviröntgentoiminta (ml. hammaskuvaukset ja mammografia)</w:t>
      </w:r>
      <w:bookmarkEnd w:id="7"/>
    </w:p>
    <w:p w14:paraId="38FADEE0"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Natiiviröntgentutkimuksissa potilaan sädeannoksen ja kuvanlaadun optimointi tehdään laitteen ominaisuudet (kV-, mAs-valinnat, kollimointi,</w:t>
      </w:r>
      <w:r w:rsidRPr="00760DC7">
        <w:rPr>
          <w:rFonts w:asciiTheme="minorHAnsi" w:eastAsiaTheme="minorHAnsi" w:hAnsiTheme="minorHAnsi" w:cstheme="minorBidi"/>
          <w:lang w:eastAsia="en-US"/>
        </w:rPr>
        <w:t xml:space="preserve"> </w:t>
      </w:r>
      <w:r w:rsidRPr="00760DC7">
        <w:rPr>
          <w:rFonts w:eastAsiaTheme="minorHAnsi" w:cstheme="minorBidi"/>
          <w:lang w:eastAsia="en-US"/>
        </w:rPr>
        <w:t>lisäsuodatusvalikoima, jne.) sekä kuvauskohde ja -indikaatio huomioiden. Kuvauslaitteen parametrien hyödyntämisen lisäksi tärkeää on oikea säteilykeilan rajaus sekä optimaalisen kuvausetäisyyden käyttö. Ilmahilaa hyödynnetään silloin, kun se on mahdollista. Erillisiä henkilökohtaisia suojaimia voidaan käyttää tutkimuksissa siroavan säteilyn aiheuttaman säteilyaltistuksen vähentämiseksi.</w:t>
      </w:r>
    </w:p>
    <w:p w14:paraId="0B451989"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Harvinaisissa tilanteissa kuvaushuoneeseen voi jäädä tukihenkilö, jonka säteilyaltistus minimoidaan käyttämällä henkilökohtaisia suojaimia, liikuteltavia suojia, osoittamalla turvallisin paikka laitteesta tulevan siroavan säteilyn suhteen, tai näiden yhdistelmällä. Tämä pätee myös hammaskuvauksiin ja mammografiatutkimuksiin.</w:t>
      </w:r>
    </w:p>
    <w:p w14:paraId="74F14E4B"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Enimmillään natiivikuvantamisesta (sis. mammografiat) saatava lääketieteellinen altistus potilaalle kuuluu säteilyaltistusluokkaan 2</w:t>
      </w:r>
      <w:r>
        <w:rPr>
          <w:rFonts w:eastAsiaTheme="minorHAnsi" w:cstheme="minorBidi"/>
          <w:lang w:eastAsia="en-US"/>
        </w:rPr>
        <w:t xml:space="preserve">. </w:t>
      </w:r>
      <w:r w:rsidRPr="00760DC7">
        <w:rPr>
          <w:rFonts w:eastAsiaTheme="minorHAnsi" w:cstheme="minorBidi"/>
          <w:lang w:eastAsia="en-US"/>
        </w:rPr>
        <w:t xml:space="preserve">Hammaskuvausten osalta säteilyaltistusluokka on 3. </w:t>
      </w:r>
    </w:p>
    <w:p w14:paraId="685595EB" w14:textId="77777777" w:rsidR="00A32A92" w:rsidRPr="00760DC7" w:rsidRDefault="00A32A92" w:rsidP="00A32A92">
      <w:pPr>
        <w:spacing w:after="160" w:line="120" w:lineRule="auto"/>
        <w:jc w:val="both"/>
        <w:rPr>
          <w:rFonts w:eastAsiaTheme="minorHAnsi" w:cstheme="minorBidi"/>
          <w:lang w:eastAsia="en-US"/>
        </w:rPr>
      </w:pPr>
    </w:p>
    <w:p w14:paraId="3665502F" w14:textId="77777777" w:rsidR="00A32A92" w:rsidRDefault="00A32A92" w:rsidP="00A32A92">
      <w:pPr>
        <w:rPr>
          <w:rFonts w:eastAsiaTheme="minorHAnsi" w:cstheme="minorBidi"/>
          <w:lang w:eastAsia="en-US"/>
        </w:rPr>
      </w:pPr>
      <w:r>
        <w:rPr>
          <w:rFonts w:eastAsiaTheme="minorHAnsi" w:cstheme="minorBidi"/>
          <w:lang w:eastAsia="en-US"/>
        </w:rPr>
        <w:br w:type="page"/>
      </w:r>
    </w:p>
    <w:p w14:paraId="67C1DF8E"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lastRenderedPageBreak/>
        <w:t>Taulukko 3. Lääketieteellisen altistuksen</w:t>
      </w:r>
      <w:r>
        <w:rPr>
          <w:rFonts w:eastAsiaTheme="minorHAnsi" w:cstheme="minorBidi"/>
          <w:lang w:eastAsia="en-US"/>
        </w:rPr>
        <w:t>enimmäisaltistus vuosilta 2020-2022 (OYS, OAS, ja RAS). Tutkimuskoodi maksimiannokselle suluissa. Laskennassa on hyödynnetty viitteiden [1] ja [2] konversiokertoimia.</w:t>
      </w:r>
    </w:p>
    <w:tbl>
      <w:tblPr>
        <w:tblStyle w:val="Yksinkertainentaulukko312"/>
        <w:tblW w:w="7621" w:type="dxa"/>
        <w:tblLook w:val="04A0" w:firstRow="1" w:lastRow="0" w:firstColumn="1" w:lastColumn="0" w:noHBand="0" w:noVBand="1"/>
      </w:tblPr>
      <w:tblGrid>
        <w:gridCol w:w="2781"/>
        <w:gridCol w:w="2932"/>
        <w:gridCol w:w="1908"/>
      </w:tblGrid>
      <w:tr w:rsidR="00A32A92" w:rsidRPr="00760DC7" w14:paraId="22FB0D4E" w14:textId="77777777" w:rsidTr="008B4E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81" w:type="dxa"/>
          </w:tcPr>
          <w:p w14:paraId="13AA4B8A" w14:textId="77777777" w:rsidR="00A32A92" w:rsidRPr="00760DC7" w:rsidRDefault="00A32A92" w:rsidP="008B4EAF">
            <w:pPr>
              <w:jc w:val="both"/>
            </w:pPr>
            <w:r w:rsidRPr="00760DC7">
              <w:rPr>
                <w:caps w:val="0"/>
              </w:rPr>
              <w:t>Kuvausalue</w:t>
            </w:r>
          </w:p>
        </w:tc>
        <w:tc>
          <w:tcPr>
            <w:tcW w:w="2932" w:type="dxa"/>
          </w:tcPr>
          <w:p w14:paraId="0720B7C4" w14:textId="77777777" w:rsidR="00A32A92" w:rsidRPr="00760DC7" w:rsidRDefault="00A32A92" w:rsidP="008B4EAF">
            <w:pPr>
              <w:cnfStyle w:val="100000000000" w:firstRow="1" w:lastRow="0" w:firstColumn="0" w:lastColumn="0" w:oddVBand="0" w:evenVBand="0" w:oddHBand="0" w:evenHBand="0" w:firstRowFirstColumn="0" w:firstRowLastColumn="0" w:lastRowFirstColumn="0" w:lastRowLastColumn="0"/>
              <w:rPr>
                <w:rFonts w:cs="Calibri"/>
              </w:rPr>
            </w:pPr>
            <w:r w:rsidRPr="00760DC7">
              <w:rPr>
                <w:rFonts w:cs="Calibri"/>
                <w:caps w:val="0"/>
              </w:rPr>
              <w:t>Lääketieteellisen enimmäisaltistuk</w:t>
            </w:r>
            <w:r>
              <w:rPr>
                <w:rFonts w:cs="Calibri"/>
                <w:caps w:val="0"/>
              </w:rPr>
              <w:t>sen efektiiviset annokset, ml. poikkeustapahtumat [mS</w:t>
            </w:r>
            <w:r w:rsidRPr="00760DC7">
              <w:rPr>
                <w:rFonts w:cs="Calibri"/>
                <w:caps w:val="0"/>
              </w:rPr>
              <w:t>v]</w:t>
            </w:r>
          </w:p>
        </w:tc>
        <w:tc>
          <w:tcPr>
            <w:tcW w:w="1908" w:type="dxa"/>
          </w:tcPr>
          <w:p w14:paraId="0D368A63" w14:textId="77777777" w:rsidR="00A32A92" w:rsidRPr="00760DC7" w:rsidRDefault="00A32A92" w:rsidP="008B4EAF">
            <w:pPr>
              <w:jc w:val="both"/>
              <w:cnfStyle w:val="100000000000" w:firstRow="1" w:lastRow="0" w:firstColumn="0" w:lastColumn="0" w:oddVBand="0" w:evenVBand="0" w:oddHBand="0" w:evenHBand="0" w:firstRowFirstColumn="0" w:firstRowLastColumn="0" w:lastRowFirstColumn="0" w:lastRowLastColumn="0"/>
            </w:pPr>
            <w:r w:rsidRPr="00760DC7">
              <w:rPr>
                <w:caps w:val="0"/>
              </w:rPr>
              <w:t>Maksimi</w:t>
            </w:r>
          </w:p>
          <w:p w14:paraId="0067A394" w14:textId="77777777" w:rsidR="00A32A92" w:rsidRPr="00760DC7" w:rsidRDefault="00A32A92" w:rsidP="008B4EAF">
            <w:pPr>
              <w:jc w:val="both"/>
              <w:cnfStyle w:val="100000000000" w:firstRow="1" w:lastRow="0" w:firstColumn="0" w:lastColumn="0" w:oddVBand="0" w:evenVBand="0" w:oddHBand="0" w:evenHBand="0" w:firstRowFirstColumn="0" w:firstRowLastColumn="0" w:lastRowFirstColumn="0" w:lastRowLastColumn="0"/>
              <w:rPr>
                <w:vertAlign w:val="superscript"/>
              </w:rPr>
            </w:pPr>
            <w:r w:rsidRPr="00760DC7">
              <w:t>K</w:t>
            </w:r>
            <w:r>
              <w:rPr>
                <w:caps w:val="0"/>
              </w:rPr>
              <w:t>AP</w:t>
            </w:r>
            <w:r w:rsidRPr="00760DC7">
              <w:t xml:space="preserve"> </w:t>
            </w:r>
            <w:r>
              <w:rPr>
                <w:rFonts w:cs="Calibri"/>
                <w:caps w:val="0"/>
              </w:rPr>
              <w:t>[mG</w:t>
            </w:r>
            <w:r w:rsidRPr="00760DC7">
              <w:rPr>
                <w:rFonts w:cs="Calibri"/>
                <w:caps w:val="0"/>
              </w:rPr>
              <w:t>ycm</w:t>
            </w:r>
            <w:r w:rsidRPr="00760DC7">
              <w:rPr>
                <w:rFonts w:cs="Calibri"/>
                <w:vertAlign w:val="superscript"/>
              </w:rPr>
              <w:t>2</w:t>
            </w:r>
            <w:r w:rsidRPr="00760DC7">
              <w:rPr>
                <w:rFonts w:cs="Calibri"/>
              </w:rPr>
              <w:t>]</w:t>
            </w:r>
            <w:r>
              <w:rPr>
                <w:rFonts w:cs="Calibri"/>
              </w:rPr>
              <w:t xml:space="preserve"> </w:t>
            </w:r>
            <w:r w:rsidRPr="00B257D2">
              <w:t>tai MGD (</w:t>
            </w:r>
            <w:r w:rsidRPr="008B2F3A">
              <w:rPr>
                <w:rFonts w:cs="Calibri"/>
                <w:caps w:val="0"/>
              </w:rPr>
              <w:t>mGy</w:t>
            </w:r>
            <w:r w:rsidRPr="00B257D2">
              <w:t>)</w:t>
            </w:r>
            <w:r>
              <w:rPr>
                <w:caps w:val="0"/>
              </w:rPr>
              <w:t xml:space="preserve"> (mammogr.)</w:t>
            </w:r>
          </w:p>
        </w:tc>
      </w:tr>
      <w:tr w:rsidR="00A32A92" w:rsidRPr="00760DC7" w14:paraId="19E8A274" w14:textId="77777777" w:rsidTr="008B4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Pr>
          <w:p w14:paraId="143A2715" w14:textId="77777777" w:rsidR="00A32A92" w:rsidRPr="00760DC7" w:rsidRDefault="00A32A92" w:rsidP="008B4EAF">
            <w:pPr>
              <w:jc w:val="both"/>
            </w:pPr>
            <w:r>
              <w:rPr>
                <w:caps w:val="0"/>
              </w:rPr>
              <w:t>Natiiviröntgen (JN3AA)</w:t>
            </w:r>
          </w:p>
        </w:tc>
        <w:tc>
          <w:tcPr>
            <w:tcW w:w="2932" w:type="dxa"/>
          </w:tcPr>
          <w:p w14:paraId="15FA05E8" w14:textId="77777777" w:rsidR="00A32A92" w:rsidRPr="00760DC7" w:rsidRDefault="00A32A92" w:rsidP="008B4EAF">
            <w:pPr>
              <w:jc w:val="both"/>
              <w:cnfStyle w:val="000000100000" w:firstRow="0" w:lastRow="0" w:firstColumn="0" w:lastColumn="0" w:oddVBand="0" w:evenVBand="0" w:oddHBand="1" w:evenHBand="0" w:firstRowFirstColumn="0" w:firstRowLastColumn="0" w:lastRowFirstColumn="0" w:lastRowLastColumn="0"/>
            </w:pPr>
            <w:r>
              <w:t>8,5</w:t>
            </w:r>
            <w:r w:rsidRPr="00760DC7">
              <w:t xml:space="preserve"> </w:t>
            </w:r>
          </w:p>
        </w:tc>
        <w:tc>
          <w:tcPr>
            <w:tcW w:w="1908" w:type="dxa"/>
          </w:tcPr>
          <w:p w14:paraId="33C14E61" w14:textId="77777777" w:rsidR="00A32A92" w:rsidRPr="00760DC7" w:rsidRDefault="00A32A92" w:rsidP="008B4EAF">
            <w:pPr>
              <w:jc w:val="both"/>
              <w:cnfStyle w:val="000000100000" w:firstRow="0" w:lastRow="0" w:firstColumn="0" w:lastColumn="0" w:oddVBand="0" w:evenVBand="0" w:oddHBand="1" w:evenHBand="0" w:firstRowFirstColumn="0" w:firstRowLastColumn="0" w:lastRowFirstColumn="0" w:lastRowLastColumn="0"/>
            </w:pPr>
            <w:r>
              <w:t>37 760</w:t>
            </w:r>
            <w:r w:rsidRPr="00760DC7">
              <w:t xml:space="preserve"> </w:t>
            </w:r>
          </w:p>
        </w:tc>
      </w:tr>
      <w:tr w:rsidR="00A32A92" w:rsidRPr="00760DC7" w14:paraId="248C6297" w14:textId="77777777" w:rsidTr="008B4EAF">
        <w:tc>
          <w:tcPr>
            <w:cnfStyle w:val="001000000000" w:firstRow="0" w:lastRow="0" w:firstColumn="1" w:lastColumn="0" w:oddVBand="0" w:evenVBand="0" w:oddHBand="0" w:evenHBand="0" w:firstRowFirstColumn="0" w:firstRowLastColumn="0" w:lastRowFirstColumn="0" w:lastRowLastColumn="0"/>
            <w:tcW w:w="2781" w:type="dxa"/>
          </w:tcPr>
          <w:p w14:paraId="0CACECFF" w14:textId="77777777" w:rsidR="00A32A92" w:rsidRPr="00760DC7" w:rsidRDefault="00A32A92" w:rsidP="008B4EAF">
            <w:pPr>
              <w:jc w:val="both"/>
            </w:pPr>
            <w:r>
              <w:rPr>
                <w:caps w:val="0"/>
              </w:rPr>
              <w:t xml:space="preserve">Hammaskuvaukset (EB1HA) </w:t>
            </w:r>
          </w:p>
        </w:tc>
        <w:tc>
          <w:tcPr>
            <w:tcW w:w="2932" w:type="dxa"/>
          </w:tcPr>
          <w:p w14:paraId="610CB698" w14:textId="77777777" w:rsidR="00A32A92" w:rsidRPr="00760DC7" w:rsidRDefault="00A32A92" w:rsidP="008B4EAF">
            <w:pPr>
              <w:jc w:val="both"/>
              <w:cnfStyle w:val="000000000000" w:firstRow="0" w:lastRow="0" w:firstColumn="0" w:lastColumn="0" w:oddVBand="0" w:evenVBand="0" w:oddHBand="0" w:evenHBand="0" w:firstRowFirstColumn="0" w:firstRowLastColumn="0" w:lastRowFirstColumn="0" w:lastRowLastColumn="0"/>
            </w:pPr>
            <w:r>
              <w:t>0,04</w:t>
            </w:r>
            <w:r w:rsidRPr="00760DC7">
              <w:t xml:space="preserve"> </w:t>
            </w:r>
          </w:p>
        </w:tc>
        <w:tc>
          <w:tcPr>
            <w:tcW w:w="1908" w:type="dxa"/>
          </w:tcPr>
          <w:p w14:paraId="3FC5DBC1" w14:textId="77777777" w:rsidR="00A32A92" w:rsidRPr="00760DC7" w:rsidRDefault="00A32A92" w:rsidP="008B4EAF">
            <w:pPr>
              <w:jc w:val="both"/>
              <w:cnfStyle w:val="000000000000" w:firstRow="0" w:lastRow="0" w:firstColumn="0" w:lastColumn="0" w:oddVBand="0" w:evenVBand="0" w:oddHBand="0" w:evenHBand="0" w:firstRowFirstColumn="0" w:firstRowLastColumn="0" w:lastRowFirstColumn="0" w:lastRowLastColumn="0"/>
            </w:pPr>
            <w:r>
              <w:t>302</w:t>
            </w:r>
            <w:r w:rsidRPr="00760DC7">
              <w:t xml:space="preserve"> </w:t>
            </w:r>
          </w:p>
        </w:tc>
      </w:tr>
      <w:tr w:rsidR="00A32A92" w:rsidRPr="00760DC7" w14:paraId="1BECF310" w14:textId="77777777" w:rsidTr="008B4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Pr>
          <w:p w14:paraId="38AF0EC7" w14:textId="77777777" w:rsidR="00A32A92" w:rsidRDefault="00A32A92" w:rsidP="008B4EAF">
            <w:pPr>
              <w:jc w:val="both"/>
            </w:pPr>
            <w:r>
              <w:rPr>
                <w:caps w:val="0"/>
              </w:rPr>
              <w:t xml:space="preserve">Mammografia (HA1CA) </w:t>
            </w:r>
          </w:p>
        </w:tc>
        <w:tc>
          <w:tcPr>
            <w:tcW w:w="2932" w:type="dxa"/>
          </w:tcPr>
          <w:p w14:paraId="2ED6AC8E" w14:textId="77777777" w:rsidR="00A32A92" w:rsidRDefault="00A32A92" w:rsidP="008B4EAF">
            <w:pPr>
              <w:jc w:val="both"/>
              <w:cnfStyle w:val="000000100000" w:firstRow="0" w:lastRow="0" w:firstColumn="0" w:lastColumn="0" w:oddVBand="0" w:evenVBand="0" w:oddHBand="1" w:evenHBand="0" w:firstRowFirstColumn="0" w:firstRowLastColumn="0" w:lastRowFirstColumn="0" w:lastRowLastColumn="0"/>
            </w:pPr>
            <w:r>
              <w:t>4,3</w:t>
            </w:r>
            <w:r w:rsidRPr="00760DC7">
              <w:t xml:space="preserve"> </w:t>
            </w:r>
          </w:p>
        </w:tc>
        <w:tc>
          <w:tcPr>
            <w:tcW w:w="1908" w:type="dxa"/>
          </w:tcPr>
          <w:p w14:paraId="7CA68944" w14:textId="77777777" w:rsidR="00A32A92" w:rsidRDefault="00A32A92" w:rsidP="008B4EAF">
            <w:pPr>
              <w:jc w:val="both"/>
              <w:cnfStyle w:val="000000100000" w:firstRow="0" w:lastRow="0" w:firstColumn="0" w:lastColumn="0" w:oddVBand="0" w:evenVBand="0" w:oddHBand="1" w:evenHBand="0" w:firstRowFirstColumn="0" w:firstRowLastColumn="0" w:lastRowFirstColumn="0" w:lastRowLastColumn="0"/>
            </w:pPr>
            <w:r>
              <w:t>35</w:t>
            </w:r>
            <w:r w:rsidRPr="00760DC7">
              <w:t xml:space="preserve"> </w:t>
            </w:r>
          </w:p>
        </w:tc>
      </w:tr>
    </w:tbl>
    <w:p w14:paraId="6C355BF1" w14:textId="77777777" w:rsidR="00A32A92" w:rsidRDefault="00A32A92" w:rsidP="00A32A92">
      <w:pPr>
        <w:shd w:val="clear" w:color="auto" w:fill="FFFFFF"/>
        <w:rPr>
          <w:sz w:val="16"/>
        </w:rPr>
      </w:pPr>
    </w:p>
    <w:p w14:paraId="5615100E" w14:textId="77777777" w:rsidR="00A32A92" w:rsidRPr="00B257D2" w:rsidRDefault="00A32A92" w:rsidP="00A32A92">
      <w:pPr>
        <w:shd w:val="clear" w:color="auto" w:fill="FFFFFF"/>
        <w:rPr>
          <w:sz w:val="16"/>
          <w:lang w:val="en-US"/>
        </w:rPr>
      </w:pPr>
      <w:r w:rsidRPr="008B4EAF">
        <w:rPr>
          <w:sz w:val="16"/>
        </w:rPr>
        <w:t xml:space="preserve">[1] </w:t>
      </w:r>
      <w:hyperlink r:id="rId13" w:tooltip="Ioannis Sechopoulos" w:history="1">
        <w:r w:rsidRPr="008B4EAF">
          <w:rPr>
            <w:sz w:val="16"/>
          </w:rPr>
          <w:t>Ioannis Sechopoulos</w:t>
        </w:r>
      </w:hyperlink>
      <w:r w:rsidRPr="008B4EAF">
        <w:rPr>
          <w:sz w:val="16"/>
        </w:rPr>
        <w:t>, </w:t>
      </w:r>
      <w:hyperlink r:id="rId14" w:tooltip="Sankararaman Suryanarayanan" w:history="1">
        <w:r w:rsidRPr="008B4EAF">
          <w:rPr>
            <w:sz w:val="16"/>
          </w:rPr>
          <w:t>Sankararaman Suryanarayanan</w:t>
        </w:r>
      </w:hyperlink>
      <w:r w:rsidRPr="008B4EAF">
        <w:rPr>
          <w:sz w:val="16"/>
        </w:rPr>
        <w:t>, </w:t>
      </w:r>
      <w:hyperlink r:id="rId15" w:tooltip="Srinivasan Vedantham" w:history="1">
        <w:r w:rsidRPr="008B4EAF">
          <w:rPr>
            <w:sz w:val="16"/>
          </w:rPr>
          <w:t>Srinivasan Vedantham</w:t>
        </w:r>
      </w:hyperlink>
      <w:r w:rsidRPr="008B4EAF">
        <w:rPr>
          <w:sz w:val="16"/>
        </w:rPr>
        <w:t>, </w:t>
      </w:r>
      <w:hyperlink r:id="rId16" w:tooltip="Carl J. D'Orsi" w:history="1">
        <w:r w:rsidRPr="008B4EAF">
          <w:rPr>
            <w:sz w:val="16"/>
          </w:rPr>
          <w:t>Carl J. D'Orsi</w:t>
        </w:r>
      </w:hyperlink>
      <w:r w:rsidRPr="008B4EAF">
        <w:rPr>
          <w:sz w:val="16"/>
        </w:rPr>
        <w:t>, </w:t>
      </w:r>
      <w:hyperlink r:id="rId17" w:tooltip="Andrew Karellas" w:history="1">
        <w:r w:rsidRPr="008B4EAF">
          <w:rPr>
            <w:sz w:val="16"/>
          </w:rPr>
          <w:t>Andrew Karellas</w:t>
        </w:r>
      </w:hyperlink>
      <w:r w:rsidRPr="008B4EAF">
        <w:rPr>
          <w:sz w:val="16"/>
        </w:rPr>
        <w:t xml:space="preserve"> (2008), </w:t>
      </w:r>
      <w:r w:rsidRPr="008B4EAF">
        <w:rPr>
          <w:i/>
          <w:sz w:val="16"/>
        </w:rPr>
        <w:t>Radiation Dose to Organs and Tissues from Mammography: Monte Carlo and Phantom Study</w:t>
      </w:r>
      <w:r w:rsidRPr="008B4EAF">
        <w:rPr>
          <w:sz w:val="16"/>
        </w:rPr>
        <w:t xml:space="preserve"> </w:t>
      </w:r>
      <w:hyperlink r:id="rId18" w:tgtFrame="_blank" w:history="1">
        <w:r w:rsidRPr="008B4EAF">
          <w:rPr>
            <w:sz w:val="16"/>
          </w:rPr>
          <w:t xml:space="preserve">Radiology. </w:t>
        </w:r>
        <w:r w:rsidRPr="00B257D2">
          <w:rPr>
            <w:sz w:val="16"/>
            <w:lang w:val="en-US"/>
          </w:rPr>
          <w:t>246(2): 434–443.</w:t>
        </w:r>
      </w:hyperlink>
    </w:p>
    <w:p w14:paraId="0115CB52" w14:textId="77777777" w:rsidR="00A32A92" w:rsidRPr="00E632F9" w:rsidRDefault="00A32A92" w:rsidP="00A32A92">
      <w:pPr>
        <w:shd w:val="clear" w:color="auto" w:fill="FFFFFF"/>
        <w:rPr>
          <w:rFonts w:ascii="icomoon" w:hAnsi="icomoon"/>
          <w:color w:val="1C1D1E"/>
        </w:rPr>
      </w:pPr>
      <w:r w:rsidRPr="00B257D2">
        <w:rPr>
          <w:sz w:val="16"/>
          <w:lang w:val="en-US"/>
        </w:rPr>
        <w:t xml:space="preserve">[2] </w:t>
      </w:r>
      <w:hyperlink r:id="rId19" w:history="1">
        <w:r w:rsidRPr="00B257D2">
          <w:rPr>
            <w:sz w:val="16"/>
            <w:lang w:val="en-US"/>
          </w:rPr>
          <w:t>Vladislav Golikov</w:t>
        </w:r>
      </w:hyperlink>
      <w:r w:rsidRPr="00B257D2">
        <w:rPr>
          <w:sz w:val="16"/>
          <w:lang w:val="en-US"/>
        </w:rPr>
        <w:t>, </w:t>
      </w:r>
      <w:hyperlink r:id="rId20" w:history="1">
        <w:r w:rsidRPr="00B257D2">
          <w:rPr>
            <w:sz w:val="16"/>
            <w:lang w:val="en-US"/>
          </w:rPr>
          <w:t>Polina Druzhinina</w:t>
        </w:r>
      </w:hyperlink>
      <w:r w:rsidRPr="00B257D2">
        <w:rPr>
          <w:sz w:val="16"/>
          <w:lang w:val="en-US"/>
        </w:rPr>
        <w:t xml:space="preserve"> (2020). </w:t>
      </w:r>
      <w:r w:rsidRPr="00B257D2">
        <w:rPr>
          <w:i/>
          <w:sz w:val="16"/>
          <w:lang w:val="en-US"/>
        </w:rPr>
        <w:t>Technical Note: Patient-weight dependence of the effective dose conversion coefficients for diagnostic x-ray imaging procedures.</w:t>
      </w:r>
      <w:r w:rsidRPr="00B257D2">
        <w:rPr>
          <w:sz w:val="16"/>
          <w:lang w:val="en-US"/>
        </w:rPr>
        <w:t xml:space="preserve"> </w:t>
      </w:r>
      <w:r w:rsidRPr="00B257D2">
        <w:rPr>
          <w:sz w:val="16"/>
        </w:rPr>
        <w:t>47(10)</w:t>
      </w:r>
      <w:r>
        <w:rPr>
          <w:sz w:val="16"/>
        </w:rPr>
        <w:t>: 5633-5372.</w:t>
      </w:r>
    </w:p>
    <w:p w14:paraId="3C25C149" w14:textId="77777777" w:rsidR="00A32A92" w:rsidRDefault="00A32A92" w:rsidP="00A32A92">
      <w:pPr>
        <w:spacing w:after="160" w:line="259" w:lineRule="auto"/>
        <w:jc w:val="both"/>
        <w:rPr>
          <w:rFonts w:eastAsiaTheme="minorHAnsi" w:cstheme="minorBidi"/>
          <w:lang w:eastAsia="en-US"/>
        </w:rPr>
      </w:pPr>
    </w:p>
    <w:p w14:paraId="0F74E5B7" w14:textId="77777777" w:rsidR="00A32A92" w:rsidRPr="00A32A92" w:rsidRDefault="00A32A92" w:rsidP="00A32A92">
      <w:pPr>
        <w:pStyle w:val="Otsikko20"/>
        <w:rPr>
          <w:rFonts w:ascii="Trebuchet MS" w:eastAsiaTheme="minorHAnsi" w:hAnsi="Trebuchet MS"/>
          <w:color w:val="auto"/>
          <w:lang w:eastAsia="en-US"/>
        </w:rPr>
      </w:pPr>
      <w:bookmarkStart w:id="8" w:name="_Toc187227195"/>
      <w:r w:rsidRPr="00A32A92">
        <w:rPr>
          <w:rFonts w:ascii="Trebuchet MS" w:eastAsiaTheme="minorHAnsi" w:hAnsi="Trebuchet MS"/>
          <w:color w:val="auto"/>
          <w:lang w:eastAsia="en-US"/>
        </w:rPr>
        <w:t>Läpivalaisu-ja angiografiatutkimukset sekä -toimenpiteet</w:t>
      </w:r>
      <w:bookmarkEnd w:id="8"/>
    </w:p>
    <w:p w14:paraId="129D5468"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Angio- ja läpivalaisutoiminnassa potilaan sädeannoksen ja kuvanlaadun optimointi tehdään laitteen ominaisuudet (kV-, mAs-valinnat, kollimointi, pulssausnopeus, lisäsuodatusvalikoima</w:t>
      </w:r>
      <w:r>
        <w:rPr>
          <w:rFonts w:eastAsiaTheme="minorHAnsi" w:cstheme="minorBidi"/>
          <w:lang w:eastAsia="en-US"/>
        </w:rPr>
        <w:t>,</w:t>
      </w:r>
      <w:r w:rsidRPr="00760DC7">
        <w:rPr>
          <w:rFonts w:eastAsiaTheme="minorHAnsi" w:cstheme="minorBidi"/>
          <w:lang w:eastAsia="en-US"/>
        </w:rPr>
        <w:t xml:space="preserve"> jne.) sekä kuvauskohde huomioiden. Optimaalinen kuvaus- ja läpivalaisualan rajaus, läpivalaisuajan, otettujen kuvien ja kuvasarjojen lukumäärän minimointi laitteen ominaisuuksien hyödyntämisen ohella parantaa potilaskohtaisen säteilyannoksen optimointia. </w:t>
      </w:r>
    </w:p>
    <w:p w14:paraId="38BBD2BA"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Turvallisuusluvan alainen angio- ja läpivalaisutoiminta on jaettu seuraavasti:</w:t>
      </w:r>
    </w:p>
    <w:p w14:paraId="18900536" w14:textId="77777777" w:rsidR="00A32A92" w:rsidRPr="00760DC7" w:rsidRDefault="00A32A92" w:rsidP="00A32A92">
      <w:pPr>
        <w:numPr>
          <w:ilvl w:val="0"/>
          <w:numId w:val="38"/>
        </w:numPr>
        <w:spacing w:after="160" w:line="259" w:lineRule="auto"/>
        <w:jc w:val="both"/>
        <w:rPr>
          <w:rFonts w:eastAsiaTheme="minorHAnsi" w:cstheme="minorBidi"/>
          <w:lang w:eastAsia="en-US"/>
        </w:rPr>
      </w:pPr>
      <w:r w:rsidRPr="00760DC7">
        <w:rPr>
          <w:rFonts w:eastAsiaTheme="minorHAnsi" w:cstheme="minorBidi"/>
          <w:b/>
          <w:bCs/>
          <w:lang w:eastAsia="en-US"/>
        </w:rPr>
        <w:t>Neuroangiot ja -toimenpiteet:</w:t>
      </w:r>
      <w:r w:rsidRPr="00760DC7">
        <w:rPr>
          <w:rFonts w:eastAsiaTheme="minorHAnsi" w:cstheme="minorBidi"/>
          <w:lang w:eastAsia="en-US"/>
        </w:rPr>
        <w:t xml:space="preserve"> Pään ja kaulan alueen varjoainetutkimukset ja toimenpiteet (mm. koilaukset ja stenttaukset).</w:t>
      </w:r>
    </w:p>
    <w:p w14:paraId="6824A1B6" w14:textId="77777777" w:rsidR="00A32A92" w:rsidRPr="00760DC7" w:rsidRDefault="00A32A92" w:rsidP="00A32A92">
      <w:pPr>
        <w:numPr>
          <w:ilvl w:val="0"/>
          <w:numId w:val="38"/>
        </w:numPr>
        <w:spacing w:after="160" w:line="259" w:lineRule="auto"/>
        <w:jc w:val="both"/>
        <w:rPr>
          <w:rFonts w:eastAsiaTheme="minorHAnsi" w:cstheme="minorBidi"/>
          <w:b/>
          <w:bCs/>
          <w:lang w:eastAsia="en-US"/>
        </w:rPr>
      </w:pPr>
      <w:r w:rsidRPr="00760DC7">
        <w:rPr>
          <w:rFonts w:eastAsiaTheme="minorHAnsi" w:cstheme="minorBidi"/>
          <w:b/>
          <w:bCs/>
          <w:lang w:eastAsia="en-US"/>
        </w:rPr>
        <w:t>Yleisangiografiat ja -toimenpiteet:</w:t>
      </w:r>
      <w:r w:rsidRPr="00760DC7">
        <w:rPr>
          <w:rFonts w:eastAsiaTheme="minorHAnsi" w:cstheme="minorBidi"/>
          <w:lang w:eastAsia="en-US"/>
        </w:rPr>
        <w:t xml:space="preserve"> Ala- ja yläraajojen laskimo- ja valtimotutkimukset, vartalon alueen verisuoniangiot -ja tmp:t esim. PTA, stenttaukset, embolisaatiot </w:t>
      </w:r>
    </w:p>
    <w:p w14:paraId="605CACB1" w14:textId="77777777" w:rsidR="00A32A92" w:rsidRPr="00760DC7" w:rsidRDefault="00A32A92" w:rsidP="00A32A92">
      <w:pPr>
        <w:numPr>
          <w:ilvl w:val="0"/>
          <w:numId w:val="38"/>
        </w:numPr>
        <w:spacing w:after="160" w:line="259" w:lineRule="auto"/>
        <w:jc w:val="both"/>
        <w:rPr>
          <w:rFonts w:eastAsiaTheme="minorHAnsi" w:cstheme="minorBidi"/>
          <w:b/>
          <w:bCs/>
          <w:lang w:eastAsia="en-US"/>
        </w:rPr>
      </w:pPr>
      <w:r w:rsidRPr="00760DC7">
        <w:rPr>
          <w:rFonts w:eastAsiaTheme="minorHAnsi" w:cstheme="minorBidi"/>
          <w:b/>
          <w:bCs/>
          <w:lang w:eastAsia="en-US"/>
        </w:rPr>
        <w:t>Vatsanalueen tutkimukset:</w:t>
      </w:r>
      <w:r w:rsidRPr="00760DC7">
        <w:rPr>
          <w:rFonts w:eastAsiaTheme="minorHAnsi" w:cstheme="minorBidi"/>
          <w:lang w:eastAsia="en-US"/>
        </w:rPr>
        <w:t xml:space="preserve"> Sappiteiden ja haiman tutkimukset (ERC &amp; ERCP), sekä ruoansulatuskanvan tutkimukset esim. defekografia</w:t>
      </w:r>
    </w:p>
    <w:p w14:paraId="5E59D984" w14:textId="77777777" w:rsidR="00A32A92" w:rsidRPr="00760DC7" w:rsidRDefault="00A32A92" w:rsidP="00A32A92">
      <w:pPr>
        <w:numPr>
          <w:ilvl w:val="0"/>
          <w:numId w:val="38"/>
        </w:numPr>
        <w:spacing w:after="160" w:line="259" w:lineRule="auto"/>
        <w:jc w:val="both"/>
        <w:rPr>
          <w:rFonts w:eastAsiaTheme="minorHAnsi" w:cstheme="minorBidi"/>
          <w:b/>
          <w:bCs/>
          <w:lang w:eastAsia="en-US"/>
        </w:rPr>
      </w:pPr>
      <w:r w:rsidRPr="00760DC7">
        <w:rPr>
          <w:rFonts w:eastAsiaTheme="minorHAnsi" w:cstheme="minorBidi"/>
          <w:b/>
          <w:bCs/>
          <w:lang w:eastAsia="en-US"/>
        </w:rPr>
        <w:t>Muut angio- ja läpivalaisututkimukset ja -toimenpiteet:</w:t>
      </w:r>
      <w:r w:rsidRPr="00760DC7">
        <w:rPr>
          <w:rFonts w:eastAsiaTheme="minorHAnsi" w:cstheme="minorBidi"/>
          <w:lang w:eastAsia="en-US"/>
        </w:rPr>
        <w:t xml:space="preserve"> mm. SIRT-hoidot (läpivalaisun osuus) ja hermojuurisalpaukset</w:t>
      </w:r>
    </w:p>
    <w:p w14:paraId="37FA8747" w14:textId="798C6897" w:rsidR="00A32A92" w:rsidRPr="00A81876" w:rsidRDefault="00A32A92" w:rsidP="00A32A92">
      <w:pPr>
        <w:spacing w:after="160" w:line="259" w:lineRule="auto"/>
        <w:jc w:val="both"/>
        <w:rPr>
          <w:rFonts w:eastAsiaTheme="minorEastAsia" w:cstheme="minorBidi"/>
          <w:lang w:eastAsia="en-US"/>
        </w:rPr>
      </w:pPr>
      <w:r w:rsidRPr="604BB250">
        <w:rPr>
          <w:rFonts w:eastAsiaTheme="minorEastAsia" w:cstheme="minorBidi"/>
          <w:lang w:eastAsia="en-US"/>
        </w:rPr>
        <w:t xml:space="preserve">Angiografiatutkimuksista ja toimenpiteistä potilaille aiheutuvat efektiiviset annokset voivat vaihdella huomattavasti. </w:t>
      </w:r>
      <w:r w:rsidRPr="48AF7640">
        <w:rPr>
          <w:rFonts w:eastAsiaTheme="minorEastAsia" w:cstheme="minorBidi"/>
          <w:lang w:eastAsia="en-US"/>
        </w:rPr>
        <w:t xml:space="preserve">Luokittelu pohjautuu </w:t>
      </w:r>
      <w:r>
        <w:rPr>
          <w:rFonts w:eastAsiaTheme="minorEastAsia" w:cstheme="minorBidi"/>
          <w:lang w:eastAsia="en-US"/>
        </w:rPr>
        <w:t>tu</w:t>
      </w:r>
      <w:r w:rsidRPr="604BB250">
        <w:rPr>
          <w:rFonts w:eastAsiaTheme="minorEastAsia" w:cstheme="minorBidi"/>
          <w:lang w:eastAsia="en-US"/>
        </w:rPr>
        <w:t>t</w:t>
      </w:r>
      <w:r>
        <w:rPr>
          <w:rFonts w:eastAsiaTheme="minorEastAsia" w:cstheme="minorBidi"/>
          <w:lang w:eastAsia="en-US"/>
        </w:rPr>
        <w:t>k</w:t>
      </w:r>
      <w:r w:rsidRPr="604BB250">
        <w:rPr>
          <w:rFonts w:eastAsiaTheme="minorEastAsia" w:cstheme="minorBidi"/>
          <w:lang w:eastAsia="en-US"/>
        </w:rPr>
        <w:t xml:space="preserve">imuskoodeittain </w:t>
      </w:r>
      <w:r w:rsidRPr="48AF7640">
        <w:rPr>
          <w:rFonts w:eastAsiaTheme="minorEastAsia" w:cstheme="minorBidi"/>
          <w:lang w:eastAsia="en-US"/>
        </w:rPr>
        <w:t>laskettuihin keskiarvoihin, tutk</w:t>
      </w:r>
      <w:r>
        <w:rPr>
          <w:rFonts w:eastAsiaTheme="minorEastAsia" w:cstheme="minorBidi"/>
          <w:lang w:eastAsia="en-US"/>
        </w:rPr>
        <w:t>i</w:t>
      </w:r>
      <w:r w:rsidRPr="48AF7640">
        <w:rPr>
          <w:rFonts w:eastAsiaTheme="minorEastAsia" w:cstheme="minorBidi"/>
          <w:lang w:eastAsia="en-US"/>
        </w:rPr>
        <w:t xml:space="preserve">misuksista </w:t>
      </w:r>
      <w:r w:rsidRPr="127AE683">
        <w:rPr>
          <w:rFonts w:eastAsiaTheme="minorEastAsia" w:cstheme="minorBidi"/>
          <w:lang w:eastAsia="en-US"/>
        </w:rPr>
        <w:t>ja toimenpiteistä, joita on tehty</w:t>
      </w:r>
      <w:r>
        <w:rPr>
          <w:rFonts w:eastAsiaTheme="minorEastAsia" w:cstheme="minorBidi"/>
          <w:lang w:eastAsia="en-US"/>
        </w:rPr>
        <w:t xml:space="preserve"> yli 10 </w:t>
      </w:r>
      <w:r w:rsidRPr="127AE683">
        <w:rPr>
          <w:rFonts w:eastAsiaTheme="minorEastAsia" w:cstheme="minorBidi"/>
          <w:lang w:eastAsia="en-US"/>
        </w:rPr>
        <w:t>kappaletta</w:t>
      </w:r>
      <w:r w:rsidRPr="604BB250">
        <w:rPr>
          <w:rFonts w:eastAsiaTheme="minorEastAsia" w:cstheme="minorBidi"/>
          <w:lang w:eastAsia="en-US"/>
        </w:rPr>
        <w:t xml:space="preserve"> vuosina </w:t>
      </w:r>
      <w:r w:rsidR="00F96B8E" w:rsidRPr="604BB250">
        <w:rPr>
          <w:rFonts w:eastAsiaTheme="minorEastAsia" w:cstheme="minorBidi"/>
          <w:lang w:eastAsia="en-US"/>
        </w:rPr>
        <w:t>2020–2022</w:t>
      </w:r>
      <w:r w:rsidRPr="127AE683">
        <w:rPr>
          <w:rFonts w:eastAsiaTheme="minorEastAsia" w:cstheme="minorBidi"/>
          <w:lang w:eastAsia="en-US"/>
        </w:rPr>
        <w:t xml:space="preserve">, yht. </w:t>
      </w:r>
      <w:r w:rsidRPr="046C71A8">
        <w:rPr>
          <w:rFonts w:eastAsiaTheme="minorEastAsia" w:cstheme="minorBidi"/>
          <w:lang w:eastAsia="en-US"/>
        </w:rPr>
        <w:t xml:space="preserve">5788 tutkimusta. </w:t>
      </w:r>
    </w:p>
    <w:p w14:paraId="21247EF8" w14:textId="20C9D60A" w:rsidR="00A32A92" w:rsidRPr="00A81876" w:rsidRDefault="00A32A92" w:rsidP="00A32A92">
      <w:pPr>
        <w:spacing w:after="160" w:line="259" w:lineRule="auto"/>
        <w:jc w:val="both"/>
        <w:rPr>
          <w:rFonts w:eastAsiaTheme="minorEastAsia" w:cstheme="minorBidi"/>
          <w:lang w:eastAsia="en-US"/>
        </w:rPr>
      </w:pPr>
      <w:r w:rsidRPr="48AF7640">
        <w:rPr>
          <w:rFonts w:eastAsiaTheme="minorEastAsia" w:cstheme="minorBidi"/>
          <w:lang w:eastAsia="en-US"/>
        </w:rPr>
        <w:t xml:space="preserve">Keskimääräiset KAP-annokset toimenpiteiden välillä </w:t>
      </w:r>
      <w:r w:rsidRPr="604BB250">
        <w:rPr>
          <w:rFonts w:eastAsiaTheme="minorEastAsia" w:cstheme="minorBidi"/>
          <w:lang w:eastAsia="en-US"/>
        </w:rPr>
        <w:t xml:space="preserve">vaihtelivat vuosina </w:t>
      </w:r>
      <w:r w:rsidR="00F96B8E" w:rsidRPr="604BB250">
        <w:rPr>
          <w:rFonts w:eastAsiaTheme="minorEastAsia" w:cstheme="minorBidi"/>
          <w:lang w:eastAsia="en-US"/>
        </w:rPr>
        <w:t>2020–2022</w:t>
      </w:r>
      <w:r w:rsidRPr="604BB250">
        <w:rPr>
          <w:rFonts w:eastAsiaTheme="minorEastAsia" w:cstheme="minorBidi"/>
          <w:lang w:eastAsia="en-US"/>
        </w:rPr>
        <w:t xml:space="preserve"> 1 (nielemisen ja ruokatorven varjoainetutkimukset) </w:t>
      </w:r>
      <w:r w:rsidRPr="046C71A8">
        <w:rPr>
          <w:rFonts w:eastAsiaTheme="minorEastAsia" w:cstheme="minorBidi"/>
          <w:lang w:eastAsia="en-US"/>
        </w:rPr>
        <w:t>ja</w:t>
      </w:r>
      <w:r w:rsidRPr="604BB250">
        <w:rPr>
          <w:rFonts w:eastAsiaTheme="minorEastAsia" w:cstheme="minorBidi"/>
          <w:lang w:eastAsia="en-US"/>
        </w:rPr>
        <w:t xml:space="preserve"> 440 (valtimon hoito stenttigraftilla) Gy*cm2 välillä. Vastaavasti efektiiviset annokset keksimäärin olivat </w:t>
      </w:r>
      <w:r w:rsidR="00F96B8E" w:rsidRPr="604BB250">
        <w:rPr>
          <w:rFonts w:eastAsiaTheme="minorEastAsia" w:cstheme="minorBidi"/>
          <w:lang w:eastAsia="en-US"/>
        </w:rPr>
        <w:t>0,2–114</w:t>
      </w:r>
      <w:r w:rsidRPr="604BB250">
        <w:rPr>
          <w:rFonts w:eastAsiaTheme="minorEastAsia" w:cstheme="minorBidi"/>
          <w:lang w:eastAsia="en-US"/>
        </w:rPr>
        <w:t xml:space="preserve"> mSv:n välillä</w:t>
      </w:r>
      <w:r w:rsidRPr="046C71A8">
        <w:rPr>
          <w:rFonts w:eastAsiaTheme="minorEastAsia" w:cstheme="minorBidi"/>
          <w:lang w:eastAsia="en-US"/>
        </w:rPr>
        <w:t>.</w:t>
      </w:r>
      <w:r w:rsidRPr="604BB250">
        <w:rPr>
          <w:rFonts w:eastAsiaTheme="minorEastAsia" w:cstheme="minorBidi"/>
          <w:lang w:eastAsia="en-US"/>
        </w:rPr>
        <w:t xml:space="preserve">  </w:t>
      </w:r>
    </w:p>
    <w:p w14:paraId="1027B136" w14:textId="4C906AB2" w:rsidR="00A32A92" w:rsidRPr="00F9090C" w:rsidRDefault="00A32A92" w:rsidP="00A32A92">
      <w:pPr>
        <w:spacing w:after="160" w:line="259" w:lineRule="auto"/>
        <w:jc w:val="both"/>
        <w:rPr>
          <w:rFonts w:eastAsiaTheme="minorEastAsia" w:cstheme="minorBidi"/>
          <w:lang w:eastAsia="en-US"/>
        </w:rPr>
      </w:pPr>
      <w:r w:rsidRPr="604BB250">
        <w:rPr>
          <w:rFonts w:eastAsiaTheme="minorEastAsia" w:cstheme="minorBidi"/>
          <w:lang w:eastAsia="en-US"/>
        </w:rPr>
        <w:lastRenderedPageBreak/>
        <w:t xml:space="preserve">Suurimmat laskennalliset annokset muodostuvat haastavimmissa yleistoimenpiteissä, sekä raajojen ja neurologisten toimenpiteiden yhteydessä. Suurimmat yksittäiset efektiiviset annokset </w:t>
      </w:r>
      <w:r w:rsidRPr="093FE2CB">
        <w:rPr>
          <w:rFonts w:eastAsiaTheme="minorEastAsia" w:cstheme="minorBidi"/>
          <w:lang w:eastAsia="en-US"/>
        </w:rPr>
        <w:t>kertyivät</w:t>
      </w:r>
      <w:r w:rsidRPr="604BB250">
        <w:rPr>
          <w:rFonts w:eastAsiaTheme="minorEastAsia" w:cstheme="minorBidi"/>
          <w:lang w:eastAsia="en-US"/>
        </w:rPr>
        <w:t xml:space="preserve"> aneurysman suonensisäisissä toimenpiteissä valtimoiden ja vatsa-aortan hoidoissa stenttigraftilla. Näissä toimenpiteissä efektiiviset annokset voivat nousta yli 100 mSv:n. Suurin yk</w:t>
      </w:r>
      <w:r>
        <w:rPr>
          <w:rFonts w:eastAsiaTheme="minorEastAsia" w:cstheme="minorBidi"/>
          <w:lang w:eastAsia="en-US"/>
        </w:rPr>
        <w:t>si</w:t>
      </w:r>
      <w:r w:rsidRPr="604BB250">
        <w:rPr>
          <w:rFonts w:eastAsiaTheme="minorEastAsia" w:cstheme="minorBidi"/>
          <w:lang w:eastAsia="en-US"/>
        </w:rPr>
        <w:t xml:space="preserve">ttäinen annos aikavälillä </w:t>
      </w:r>
      <w:r w:rsidR="00F96B8E" w:rsidRPr="604BB250">
        <w:rPr>
          <w:rFonts w:eastAsiaTheme="minorEastAsia" w:cstheme="minorBidi"/>
          <w:lang w:eastAsia="en-US"/>
        </w:rPr>
        <w:t>2020–2022</w:t>
      </w:r>
      <w:r w:rsidRPr="604BB250">
        <w:rPr>
          <w:rFonts w:eastAsiaTheme="minorEastAsia" w:cstheme="minorBidi"/>
          <w:lang w:eastAsia="en-US"/>
        </w:rPr>
        <w:t xml:space="preserve"> oli valtimon hoidossa </w:t>
      </w:r>
      <w:r>
        <w:rPr>
          <w:rFonts w:eastAsiaTheme="minorEastAsia" w:cstheme="minorBidi"/>
          <w:lang w:eastAsia="en-US"/>
        </w:rPr>
        <w:t>s</w:t>
      </w:r>
      <w:r w:rsidRPr="604BB250">
        <w:rPr>
          <w:rFonts w:eastAsiaTheme="minorEastAsia" w:cstheme="minorBidi"/>
          <w:lang w:eastAsia="en-US"/>
        </w:rPr>
        <w:t>tenttigraftilla, n. 760 mSv. Ihoannokset jäävät pääsääntöisesti alle 3 Gy:n</w:t>
      </w:r>
      <w:r w:rsidRPr="376D1560">
        <w:rPr>
          <w:rFonts w:eastAsiaTheme="minorEastAsia" w:cstheme="minorBidi"/>
          <w:lang w:eastAsia="en-US"/>
        </w:rPr>
        <w:t xml:space="preserve">, keskimäärin vuosilta </w:t>
      </w:r>
      <w:r w:rsidR="00F96B8E" w:rsidRPr="0550F202">
        <w:rPr>
          <w:rFonts w:eastAsiaTheme="minorEastAsia" w:cstheme="minorBidi"/>
          <w:lang w:eastAsia="en-US"/>
        </w:rPr>
        <w:t>2020–2022</w:t>
      </w:r>
      <w:r w:rsidRPr="0550F202">
        <w:rPr>
          <w:rFonts w:eastAsiaTheme="minorEastAsia" w:cstheme="minorBidi"/>
          <w:lang w:eastAsia="en-US"/>
        </w:rPr>
        <w:t xml:space="preserve"> </w:t>
      </w:r>
      <w:r w:rsidRPr="093FE2CB">
        <w:rPr>
          <w:rFonts w:eastAsiaTheme="minorEastAsia" w:cstheme="minorBidi"/>
          <w:lang w:eastAsia="en-US"/>
        </w:rPr>
        <w:t xml:space="preserve">ihoannokset olivat n. </w:t>
      </w:r>
      <w:r w:rsidRPr="0550F202">
        <w:rPr>
          <w:rFonts w:eastAsiaTheme="minorEastAsia" w:cstheme="minorBidi"/>
          <w:lang w:eastAsia="en-US"/>
        </w:rPr>
        <w:t xml:space="preserve">0,3 Gy / tutkimus. </w:t>
      </w:r>
    </w:p>
    <w:p w14:paraId="5DC6122C" w14:textId="77777777" w:rsidR="00A32A92" w:rsidRDefault="00A32A92" w:rsidP="00A32A92">
      <w:pPr>
        <w:spacing w:after="160" w:line="259" w:lineRule="auto"/>
        <w:jc w:val="both"/>
        <w:rPr>
          <w:rFonts w:eastAsiaTheme="minorEastAsia" w:cstheme="minorBidi"/>
          <w:lang w:eastAsia="en-US"/>
        </w:rPr>
      </w:pPr>
      <w:r w:rsidRPr="604BB250">
        <w:rPr>
          <w:rFonts w:eastAsiaTheme="minorEastAsia" w:cstheme="minorBidi"/>
          <w:lang w:eastAsia="en-US"/>
        </w:rPr>
        <w:t>Toimenpideradiologisissa enimmillään saatava lääketieteellinen altistus potilaalle kuuluu näin ollen säteilyaltistusluokkaan 1.</w:t>
      </w:r>
    </w:p>
    <w:p w14:paraId="12B40C9C" w14:textId="77777777" w:rsidR="00A32A92" w:rsidRDefault="00A32A92" w:rsidP="00A32A92">
      <w:pPr>
        <w:rPr>
          <w:rFonts w:eastAsiaTheme="minorHAnsi"/>
          <w:lang w:eastAsia="en-US"/>
        </w:rPr>
      </w:pPr>
    </w:p>
    <w:p w14:paraId="2054825C" w14:textId="77777777" w:rsidR="00A32A92" w:rsidRPr="00A32A92" w:rsidRDefault="00A32A92" w:rsidP="00A32A92">
      <w:pPr>
        <w:pStyle w:val="Otsikko10"/>
        <w:rPr>
          <w:rFonts w:ascii="Trebuchet MS" w:eastAsiaTheme="minorHAnsi" w:hAnsi="Trebuchet MS"/>
          <w:color w:val="auto"/>
          <w:lang w:eastAsia="en-US"/>
        </w:rPr>
      </w:pPr>
      <w:bookmarkStart w:id="9" w:name="_Toc187227196"/>
      <w:r w:rsidRPr="00A32A92">
        <w:rPr>
          <w:rFonts w:ascii="Trebuchet MS" w:eastAsiaTheme="minorHAnsi" w:hAnsi="Trebuchet MS"/>
          <w:color w:val="auto"/>
          <w:lang w:eastAsia="en-US"/>
        </w:rPr>
        <w:t>4. Työperäinen altistus</w:t>
      </w:r>
      <w:bookmarkEnd w:id="9"/>
    </w:p>
    <w:p w14:paraId="6519B40C" w14:textId="77777777" w:rsidR="00A32A92" w:rsidRPr="00F9090C" w:rsidRDefault="00A32A92" w:rsidP="00A32A92">
      <w:pPr>
        <w:spacing w:after="160" w:line="259" w:lineRule="auto"/>
        <w:jc w:val="both"/>
      </w:pPr>
      <w:r w:rsidRPr="00F9090C">
        <w:rPr>
          <w:rFonts w:eastAsiaTheme="minorHAnsi" w:cstheme="minorBidi"/>
          <w:lang w:eastAsia="en-US"/>
        </w:rPr>
        <w:t xml:space="preserve">Työoloihin liittyvän säteilyaltistuksen voidaan arvioida olevan </w:t>
      </w:r>
      <w:r>
        <w:rPr>
          <w:rFonts w:eastAsiaTheme="minorHAnsi" w:cstheme="minorBidi"/>
          <w:lang w:eastAsia="en-US"/>
        </w:rPr>
        <w:t>efektiivisenä annoksena</w:t>
      </w:r>
      <w:r w:rsidRPr="00F9090C">
        <w:rPr>
          <w:rFonts w:eastAsiaTheme="minorHAnsi" w:cstheme="minorBidi"/>
          <w:lang w:eastAsia="en-US"/>
        </w:rPr>
        <w:t xml:space="preserve"> työntekijöillä alle 1 mSv perustuen käytössä oleviin säteilylähteisiin ja työtapoihin. Potentiaalisen altistuksen osalta voidaan joissakin työntekijäryhmissä perustellusti olettaa, että vuosittainen </w:t>
      </w:r>
      <w:r>
        <w:rPr>
          <w:rFonts w:eastAsiaTheme="minorHAnsi" w:cstheme="minorBidi"/>
          <w:lang w:eastAsia="en-US"/>
        </w:rPr>
        <w:t>efektiivinen annos</w:t>
      </w:r>
      <w:r w:rsidRPr="00F9090C">
        <w:rPr>
          <w:rFonts w:eastAsiaTheme="minorHAnsi" w:cstheme="minorBidi"/>
          <w:lang w:eastAsia="en-US"/>
        </w:rPr>
        <w:t xml:space="preserve"> voi ylittää 1 mSv, mutta jää kuitenkin alle 6 mSv (altistusluokka 2).</w:t>
      </w:r>
      <w:r>
        <w:rPr>
          <w:rFonts w:eastAsiaTheme="minorHAnsi" w:cstheme="minorBidi"/>
          <w:lang w:eastAsia="en-US"/>
        </w:rPr>
        <w:t xml:space="preserve"> </w:t>
      </w:r>
      <w:r w:rsidRPr="001D0E3E">
        <w:rPr>
          <w:rFonts w:eastAsiaTheme="minorHAnsi" w:cstheme="minorBidi"/>
          <w:lang w:eastAsia="en-US"/>
        </w:rPr>
        <w:t>Erityisesti yleisangiografisissa toimenpiteissä radiologin pinta-annokset (Hp.07) suojien pinnalta mitattuna voivat</w:t>
      </w:r>
      <w:r>
        <w:rPr>
          <w:rFonts w:eastAsiaTheme="minorHAnsi" w:cstheme="minorBidi"/>
          <w:lang w:eastAsia="en-US"/>
        </w:rPr>
        <w:t xml:space="preserve"> kuitenkin</w:t>
      </w:r>
      <w:r w:rsidRPr="001D0E3E">
        <w:rPr>
          <w:rFonts w:eastAsiaTheme="minorHAnsi" w:cstheme="minorBidi"/>
          <w:lang w:eastAsia="en-US"/>
        </w:rPr>
        <w:t xml:space="preserve"> ylittää 6 mSv, mutta jäävät alle 10 mSv:n. Suojien vaikutuksen huomioiden (1-3 % säteilystä läpäisee asianmukaisen suojavarustuksen [1,2]) efektiiviset annokset kuitenkin jäävät selkeästi alle 6 mSv:n (altistusluokka 2). </w:t>
      </w:r>
      <w:r w:rsidRPr="001D0E3E">
        <w:t xml:space="preserve">Silmäannokset vertautuvat hyvin kehon alueelta mitattuihin pinta-annoksiin [3], </w:t>
      </w:r>
      <w:r w:rsidRPr="00F9090C">
        <w:t xml:space="preserve">joten myös silmien ekvivalenttiannokset jäävät pääsääntöisesti alle 6 mSv:n. </w:t>
      </w:r>
    </w:p>
    <w:p w14:paraId="261D2C25" w14:textId="77777777" w:rsidR="00A32A92" w:rsidRPr="00F9090C" w:rsidRDefault="00A32A92" w:rsidP="00A32A92">
      <w:pPr>
        <w:spacing w:after="160" w:line="259" w:lineRule="auto"/>
        <w:jc w:val="both"/>
        <w:rPr>
          <w:rFonts w:eastAsiaTheme="minorHAnsi" w:cstheme="minorBidi"/>
          <w:lang w:eastAsia="en-US"/>
        </w:rPr>
      </w:pPr>
      <w:r w:rsidRPr="00F9090C">
        <w:t>Kaikessa toiminnassa pyritään pääsemään alle 6 mSv:n vuosiannoksen</w:t>
      </w:r>
      <w:r>
        <w:t xml:space="preserve"> (pinta-annos)</w:t>
      </w:r>
      <w:r w:rsidRPr="00F9090C">
        <w:t>.</w:t>
      </w:r>
    </w:p>
    <w:p w14:paraId="48333D9D" w14:textId="77777777" w:rsidR="00A32A92" w:rsidRPr="00F9090C" w:rsidRDefault="00A32A92" w:rsidP="00A32A92">
      <w:pPr>
        <w:numPr>
          <w:ilvl w:val="0"/>
          <w:numId w:val="37"/>
        </w:numPr>
        <w:spacing w:after="160" w:line="259" w:lineRule="auto"/>
        <w:ind w:left="851"/>
        <w:contextualSpacing/>
        <w:jc w:val="both"/>
        <w:rPr>
          <w:rFonts w:eastAsiaTheme="minorHAnsi" w:cstheme="minorBidi"/>
          <w:lang w:eastAsia="en-US"/>
        </w:rPr>
      </w:pPr>
      <w:r w:rsidRPr="00F9090C">
        <w:rPr>
          <w:rFonts w:eastAsiaTheme="minorHAnsi" w:cstheme="minorBidi"/>
          <w:lang w:eastAsia="en-US"/>
        </w:rPr>
        <w:t>Työperäisen altistuksen osalta altistusluokkaan 2 luetaan toimenpider</w:t>
      </w:r>
      <w:r>
        <w:rPr>
          <w:rFonts w:eastAsiaTheme="minorHAnsi" w:cstheme="minorBidi"/>
          <w:lang w:eastAsia="en-US"/>
        </w:rPr>
        <w:t xml:space="preserve">adiologit </w:t>
      </w:r>
      <w:r w:rsidRPr="00F9090C">
        <w:rPr>
          <w:rFonts w:eastAsiaTheme="minorHAnsi" w:cstheme="minorBidi"/>
          <w:lang w:eastAsia="en-US"/>
        </w:rPr>
        <w:t>sekä toimenpiteissä mukana olevat hoitajat</w:t>
      </w:r>
    </w:p>
    <w:p w14:paraId="70CF9662" w14:textId="77777777" w:rsidR="00A32A92" w:rsidRPr="00760DC7" w:rsidRDefault="00A32A92" w:rsidP="00A32A92">
      <w:pPr>
        <w:numPr>
          <w:ilvl w:val="0"/>
          <w:numId w:val="37"/>
        </w:numPr>
        <w:spacing w:after="160" w:line="259" w:lineRule="auto"/>
        <w:ind w:left="851"/>
        <w:contextualSpacing/>
        <w:jc w:val="both"/>
        <w:rPr>
          <w:rFonts w:eastAsiaTheme="minorHAnsi" w:cstheme="minorBidi"/>
          <w:lang w:eastAsia="en-US"/>
        </w:rPr>
      </w:pPr>
      <w:r w:rsidRPr="00F9090C">
        <w:rPr>
          <w:rFonts w:eastAsiaTheme="minorHAnsi" w:cstheme="minorBidi"/>
          <w:lang w:eastAsia="en-US"/>
        </w:rPr>
        <w:t xml:space="preserve">Työperäisen altistuksen osalta altistusluokkaan 3 luetaan muut radiologit, röntgenhoitajat ja </w:t>
      </w:r>
      <w:r w:rsidRPr="00760DC7">
        <w:rPr>
          <w:rFonts w:eastAsiaTheme="minorHAnsi" w:cstheme="minorBidi"/>
          <w:lang w:eastAsia="en-US"/>
        </w:rPr>
        <w:t>fyysikot</w:t>
      </w:r>
    </w:p>
    <w:p w14:paraId="66C93273" w14:textId="77777777" w:rsidR="00A32A92" w:rsidRPr="00760DC7" w:rsidRDefault="00A32A92" w:rsidP="00A32A92">
      <w:pPr>
        <w:spacing w:after="160" w:line="259" w:lineRule="auto"/>
        <w:ind w:left="1664"/>
        <w:contextualSpacing/>
        <w:jc w:val="both"/>
        <w:rPr>
          <w:rFonts w:eastAsiaTheme="minorHAnsi" w:cstheme="minorBidi"/>
          <w:lang w:eastAsia="en-US"/>
        </w:rPr>
      </w:pPr>
    </w:p>
    <w:p w14:paraId="4FA14190"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Säteilytyöntekijät on luokiteltu luokaan B lukuun ottamatta toimenpideradiologeja ja toimenpideradiologiassa työskenteleviä röntgenhoitajia. Altistusolosuhteiden tarkkailu on A luokan säteilytyöntekijöiden osalta toteutettu henkilökohtaisella dosimetrilla. B luokan työntekijöiden osalta säteilyannoksen arviointi on toteutettu työolojen seurannalla.</w:t>
      </w:r>
    </w:p>
    <w:p w14:paraId="785D1EB4"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Työntekijät käyttävät henkilökohtaisia</w:t>
      </w:r>
      <w:r>
        <w:rPr>
          <w:rFonts w:eastAsiaTheme="minorHAnsi" w:cstheme="minorBidi"/>
          <w:lang w:eastAsia="en-US"/>
        </w:rPr>
        <w:t xml:space="preserve"> (</w:t>
      </w:r>
      <w:r w:rsidRPr="00010E3E">
        <w:rPr>
          <w:rFonts w:eastAsiaTheme="minorHAnsi" w:cstheme="minorBidi"/>
          <w:lang w:eastAsia="en-US"/>
        </w:rPr>
        <w:t>mm. kilpirauhassuojat, lyijyesiliinat ja suojalasit</w:t>
      </w:r>
      <w:r>
        <w:rPr>
          <w:rFonts w:eastAsiaTheme="minorHAnsi" w:cstheme="minorBidi"/>
          <w:lang w:eastAsia="en-US"/>
        </w:rPr>
        <w:t>)</w:t>
      </w:r>
      <w:r w:rsidRPr="00760DC7">
        <w:rPr>
          <w:rFonts w:eastAsiaTheme="minorHAnsi" w:cstheme="minorBidi"/>
          <w:lang w:eastAsia="en-US"/>
        </w:rPr>
        <w:t>, liikuteltavia ja laitteiden rakenteisiin kiinnitettyjä säteilysuojaimia, kun oleskelu tutkimushuoneessa on välttämätöntä tutkimuksen onnistumisen kannalta. Säteilysuojien kuntoa seurataan laadunvarmistusohjelman mukaisesti.</w:t>
      </w:r>
      <w:r>
        <w:rPr>
          <w:rFonts w:eastAsiaTheme="minorHAnsi" w:cstheme="minorBidi"/>
          <w:lang w:eastAsia="en-US"/>
        </w:rPr>
        <w:t xml:space="preserve"> </w:t>
      </w:r>
    </w:p>
    <w:p w14:paraId="276FE716" w14:textId="77777777" w:rsidR="00A32A92" w:rsidRPr="00F9090C"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Kuvantamishuoneiden rakenteellinen säteilysuojaus on mitoitettu siten, että niiden ulkopuolella </w:t>
      </w:r>
      <w:r w:rsidRPr="00F9090C">
        <w:rPr>
          <w:rFonts w:eastAsiaTheme="minorHAnsi" w:cstheme="minorBidi"/>
          <w:lang w:eastAsia="en-US"/>
        </w:rPr>
        <w:t>työskennellessä työperäinen säteilyaltistus</w:t>
      </w:r>
      <w:r>
        <w:rPr>
          <w:rFonts w:eastAsiaTheme="minorHAnsi" w:cstheme="minorBidi"/>
          <w:lang w:eastAsia="en-US"/>
        </w:rPr>
        <w:t xml:space="preserve"> efektiivisenä annoksena</w:t>
      </w:r>
      <w:r w:rsidRPr="00F9090C">
        <w:rPr>
          <w:rFonts w:eastAsiaTheme="minorHAnsi" w:cstheme="minorBidi"/>
          <w:lang w:eastAsia="en-US"/>
        </w:rPr>
        <w:t xml:space="preserve"> ei ylitä 0,3 mSv/vuosi.</w:t>
      </w:r>
    </w:p>
    <w:p w14:paraId="0B010F09" w14:textId="77777777" w:rsidR="00A32A92" w:rsidRPr="001D0E3E" w:rsidRDefault="00A32A92" w:rsidP="00A32A92">
      <w:pPr>
        <w:jc w:val="both"/>
        <w:rPr>
          <w:sz w:val="16"/>
          <w:lang w:val="en-US"/>
        </w:rPr>
      </w:pPr>
      <w:r w:rsidRPr="001D0E3E">
        <w:rPr>
          <w:sz w:val="16"/>
        </w:rPr>
        <w:t xml:space="preserve">[1] Siiskonen, T. &amp; Tapiovaara, M &amp; Kosunen, A &amp; Lehtinen, M &amp; Vartiainen, E. (2007). </w:t>
      </w:r>
      <w:r w:rsidRPr="001D0E3E">
        <w:rPr>
          <w:sz w:val="16"/>
          <w:lang w:val="en-US"/>
        </w:rPr>
        <w:t>Monte Carlo simulations of occupational radiation doses in interventional radiology. The British journal of radiology. 80. 460-8. 10.1259/bjr/26692771.</w:t>
      </w:r>
    </w:p>
    <w:p w14:paraId="42AA9028" w14:textId="77777777" w:rsidR="00A32A92" w:rsidRPr="001D0E3E" w:rsidRDefault="00A32A92" w:rsidP="00A32A92">
      <w:pPr>
        <w:jc w:val="both"/>
        <w:rPr>
          <w:sz w:val="16"/>
        </w:rPr>
      </w:pPr>
      <w:r w:rsidRPr="001D0E3E">
        <w:rPr>
          <w:sz w:val="16"/>
          <w:lang w:val="en-US"/>
        </w:rPr>
        <w:t xml:space="preserve">[2] Järvinen, H et al. </w:t>
      </w:r>
      <w:r w:rsidRPr="001D0E3E">
        <w:rPr>
          <w:sz w:val="16"/>
        </w:rPr>
        <w:t xml:space="preserve">(2018). </w:t>
      </w:r>
      <w:r w:rsidRPr="001D0E3E">
        <w:rPr>
          <w:i/>
          <w:sz w:val="16"/>
        </w:rPr>
        <w:t xml:space="preserve">STUK Opastaa - Säteilyn käytön turvallisuus kardiologiassa, </w:t>
      </w:r>
      <w:r w:rsidRPr="001D0E3E">
        <w:rPr>
          <w:sz w:val="16"/>
        </w:rPr>
        <w:t>Säteilyturvakeskus 09/2018.</w:t>
      </w:r>
    </w:p>
    <w:p w14:paraId="246917BD" w14:textId="77777777" w:rsidR="00A32A92" w:rsidRPr="00F9090C" w:rsidRDefault="00A32A92" w:rsidP="00A32A92">
      <w:pPr>
        <w:jc w:val="both"/>
        <w:rPr>
          <w:sz w:val="16"/>
        </w:rPr>
      </w:pPr>
      <w:r w:rsidRPr="00F9090C">
        <w:rPr>
          <w:sz w:val="16"/>
          <w:lang w:val="en-US"/>
        </w:rPr>
        <w:lastRenderedPageBreak/>
        <w:t>[</w:t>
      </w:r>
      <w:r>
        <w:rPr>
          <w:sz w:val="16"/>
          <w:lang w:val="en-US"/>
        </w:rPr>
        <w:t>3</w:t>
      </w:r>
      <w:r w:rsidRPr="00F9090C">
        <w:rPr>
          <w:sz w:val="16"/>
          <w:lang w:val="en-US"/>
        </w:rPr>
        <w:t xml:space="preserve">] Stranden, E &amp; Widmark, Anders &amp; Sekse, T. (2008). </w:t>
      </w:r>
      <w:r w:rsidRPr="00F9090C">
        <w:rPr>
          <w:i/>
          <w:sz w:val="16"/>
          <w:lang w:val="en-US"/>
        </w:rPr>
        <w:t>Assessing Doses to Interventional Radiologists Using a Personal Dosimeter Worn Over a Protective Apron</w:t>
      </w:r>
      <w:r w:rsidRPr="00F9090C">
        <w:rPr>
          <w:sz w:val="16"/>
          <w:lang w:val="en-US"/>
        </w:rPr>
        <w:t xml:space="preserve">. </w:t>
      </w:r>
      <w:r w:rsidRPr="00F9090C">
        <w:rPr>
          <w:sz w:val="16"/>
        </w:rPr>
        <w:t>Acta</w:t>
      </w:r>
      <w:r>
        <w:rPr>
          <w:sz w:val="16"/>
        </w:rPr>
        <w:t xml:space="preserve"> radiologica (Stockholm, Sweden</w:t>
      </w:r>
      <w:r w:rsidRPr="00F9090C">
        <w:rPr>
          <w:sz w:val="16"/>
        </w:rPr>
        <w:t>: 1987). 49. 415-8. 10.1080/02841850801942167.</w:t>
      </w:r>
    </w:p>
    <w:p w14:paraId="6EC072E4" w14:textId="77777777" w:rsidR="00A32A92" w:rsidRDefault="00A32A92" w:rsidP="00A32A92">
      <w:pPr>
        <w:spacing w:after="160" w:line="120" w:lineRule="auto"/>
        <w:jc w:val="both"/>
        <w:rPr>
          <w:rFonts w:eastAsiaTheme="minorHAnsi" w:cstheme="minorBidi"/>
          <w:lang w:eastAsia="en-US"/>
        </w:rPr>
      </w:pPr>
    </w:p>
    <w:p w14:paraId="68048EBC" w14:textId="77777777" w:rsidR="00A32A92" w:rsidRPr="00760DC7" w:rsidRDefault="00A32A92" w:rsidP="00A32A92">
      <w:pPr>
        <w:spacing w:after="160" w:line="259" w:lineRule="auto"/>
        <w:jc w:val="both"/>
        <w:rPr>
          <w:rFonts w:eastAsiaTheme="minorHAnsi" w:cstheme="minorBidi"/>
          <w:lang w:eastAsia="en-US"/>
        </w:rPr>
      </w:pPr>
    </w:p>
    <w:p w14:paraId="11E4B085" w14:textId="77777777" w:rsidR="00A32A92" w:rsidRPr="00A32A92" w:rsidRDefault="00A32A92" w:rsidP="00A32A92">
      <w:pPr>
        <w:pStyle w:val="Otsikko20"/>
        <w:rPr>
          <w:rFonts w:ascii="Trebuchet MS" w:eastAsiaTheme="minorHAnsi" w:hAnsi="Trebuchet MS"/>
          <w:color w:val="auto"/>
          <w:lang w:eastAsia="en-US"/>
        </w:rPr>
      </w:pPr>
      <w:bookmarkStart w:id="10" w:name="_Toc187227197"/>
      <w:r w:rsidRPr="00A32A92">
        <w:rPr>
          <w:rFonts w:ascii="Trebuchet MS" w:eastAsiaTheme="minorHAnsi" w:hAnsi="Trebuchet MS"/>
          <w:color w:val="auto"/>
          <w:lang w:eastAsia="en-US"/>
        </w:rPr>
        <w:t>Tietokonetomografia</w:t>
      </w:r>
      <w:bookmarkEnd w:id="10"/>
    </w:p>
    <w:p w14:paraId="0D549937"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TT-toiminnassa työperäistä altistusta voi esiintyä erittäin harvoin toimenpiteiden yhteydessä toimenpidettä suorittavalle radiologille. Lisäksi erittäin poikkeuksellisissa tapauksissa kuvaushuoneessa voi joutua olemaan kiinnipitäjiä. </w:t>
      </w:r>
    </w:p>
    <w:p w14:paraId="01867D9E"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Toimenpideradiologien työperäinen altistus pidetään minimissä liikuteltavien lyijyseinien, henkilökohtaisten suojainten ja soveltuvien työtapojen avulla. Henkilökuntaan kuuluvien kiinnipitäjien työperäinen altistus pidetään minimissään henkilökohtaisten suojainten avulla.</w:t>
      </w:r>
    </w:p>
    <w:p w14:paraId="1F8DD770"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TT- kuvaus tapahtuu parityöskentelynä, jossa toinen hoitaja on potilashoitaja ja toinen ”konehoitaja”, joka aloittaa kuvauksen vasta, kun potilashoitaja on tullut pois huoneesta. </w:t>
      </w:r>
    </w:p>
    <w:p w14:paraId="1F8EB0A4" w14:textId="77777777" w:rsidR="00A32A92" w:rsidRPr="001D0E3E" w:rsidRDefault="00A32A92" w:rsidP="00A32A92">
      <w:pPr>
        <w:spacing w:after="160" w:line="259" w:lineRule="auto"/>
        <w:jc w:val="both"/>
        <w:rPr>
          <w:rFonts w:eastAsiaTheme="minorHAnsi" w:cstheme="minorBidi"/>
          <w:lang w:eastAsia="en-US"/>
        </w:rPr>
      </w:pPr>
      <w:r w:rsidRPr="001D0E3E">
        <w:rPr>
          <w:rFonts w:eastAsiaTheme="minorHAnsi" w:cstheme="minorBidi"/>
          <w:lang w:eastAsia="en-US"/>
        </w:rPr>
        <w:t>Työperäinen altistus luokitellaan luokkaan 3, efektiivinen annos &lt;0,1 mSv vuodessa perustuen TT-toimenpiteitä tekevien lääkärien pinta-annosseurannasta tehtyyn arvioon efektiivisestä annoksesta ja kiinnipitäjien erittäin harvinaisiin yksittäisiin tilanteisiin.</w:t>
      </w:r>
    </w:p>
    <w:p w14:paraId="401B5776" w14:textId="77777777" w:rsidR="00A32A92" w:rsidRDefault="00A32A92" w:rsidP="00A32A92">
      <w:pPr>
        <w:rPr>
          <w:rFonts w:eastAsiaTheme="minorHAnsi" w:cstheme="minorBidi"/>
          <w:b/>
          <w:lang w:eastAsia="en-US"/>
        </w:rPr>
      </w:pPr>
      <w:r w:rsidRPr="00760DC7">
        <w:rPr>
          <w:rFonts w:eastAsiaTheme="minorHAnsi" w:cstheme="minorBidi"/>
          <w:lang w:eastAsia="en-US"/>
        </w:rPr>
        <w:t>Työperäistä altistusta voi potentiaalisesti tulla, jos toiminnanharjoittajan työntekijä, joka ei ole säteilytyöntekijä, pääsee kuvaushuoneen puolelle säteilyn ollessa päällä. Tällöin efektiivinen säteilyannos on arviolta enintään 10 µSv, perustuen toteutuneisiin säteilynkäytönpoikkeamiin.</w:t>
      </w:r>
    </w:p>
    <w:p w14:paraId="73F71DD2" w14:textId="77777777" w:rsidR="00A32A92" w:rsidRDefault="00A32A92" w:rsidP="00A32A92">
      <w:pPr>
        <w:rPr>
          <w:rFonts w:eastAsiaTheme="minorHAnsi" w:cstheme="minorBidi"/>
          <w:b/>
          <w:lang w:eastAsia="en-US"/>
        </w:rPr>
      </w:pPr>
    </w:p>
    <w:p w14:paraId="6A40029D" w14:textId="77777777" w:rsidR="00A32A92" w:rsidRPr="00A32A92" w:rsidRDefault="00A32A92" w:rsidP="00A32A92">
      <w:pPr>
        <w:pStyle w:val="Otsikko20"/>
        <w:rPr>
          <w:rFonts w:ascii="Trebuchet MS" w:eastAsiaTheme="minorHAnsi" w:hAnsi="Trebuchet MS"/>
          <w:color w:val="auto"/>
          <w:lang w:eastAsia="en-US"/>
        </w:rPr>
      </w:pPr>
      <w:bookmarkStart w:id="11" w:name="_Toc187227198"/>
      <w:r w:rsidRPr="00A32A92">
        <w:rPr>
          <w:rFonts w:ascii="Trebuchet MS" w:eastAsiaTheme="minorHAnsi" w:hAnsi="Trebuchet MS"/>
          <w:color w:val="auto"/>
          <w:lang w:eastAsia="en-US"/>
        </w:rPr>
        <w:t>Hammas- ja raaja-KKTT</w:t>
      </w:r>
      <w:bookmarkEnd w:id="11"/>
    </w:p>
    <w:p w14:paraId="34B12EA8"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Tilojen rakenteelliset suojaukset mitoitetaan siten, ettei työperäistä altistusta esiinny</w:t>
      </w:r>
      <w:r>
        <w:rPr>
          <w:rFonts w:eastAsiaTheme="minorHAnsi" w:cstheme="minorBidi"/>
          <w:lang w:eastAsia="en-US"/>
        </w:rPr>
        <w:t xml:space="preserve"> tavanomaisessa</w:t>
      </w:r>
      <w:r w:rsidRPr="00760DC7">
        <w:rPr>
          <w:rFonts w:eastAsiaTheme="minorHAnsi" w:cstheme="minorBidi"/>
          <w:lang w:eastAsia="en-US"/>
        </w:rPr>
        <w:t xml:space="preserve"> KKTT-toiminnassa.</w:t>
      </w:r>
    </w:p>
    <w:p w14:paraId="0C57B2E9"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KKTT-kuvaus tehdään joko yksin tai parityöskentelynä, jossa toinen asettelee potilaan ja toinen suorittaa kuvauksen ja kirjaamisen. Kuvaus aloitetaan vasta, kun potilashoitaja on tullut pois kuvaushuoneesta.  </w:t>
      </w:r>
    </w:p>
    <w:p w14:paraId="1B7739E3" w14:textId="77777777" w:rsidR="00A32A92" w:rsidRPr="00760DC7" w:rsidRDefault="00A32A92" w:rsidP="00A32A92">
      <w:pPr>
        <w:spacing w:after="160" w:line="259" w:lineRule="auto"/>
        <w:jc w:val="both"/>
        <w:rPr>
          <w:rFonts w:eastAsiaTheme="minorHAnsi" w:cstheme="minorBidi"/>
          <w:lang w:eastAsia="en-US"/>
        </w:rPr>
      </w:pPr>
    </w:p>
    <w:p w14:paraId="47F47781" w14:textId="77777777" w:rsidR="00A32A92" w:rsidRPr="00A32A92" w:rsidRDefault="00A32A92" w:rsidP="00A32A92">
      <w:pPr>
        <w:pStyle w:val="Otsikko20"/>
        <w:rPr>
          <w:rFonts w:ascii="Trebuchet MS" w:eastAsiaTheme="minorHAnsi" w:hAnsi="Trebuchet MS"/>
          <w:color w:val="auto"/>
          <w:lang w:eastAsia="en-US"/>
        </w:rPr>
      </w:pPr>
      <w:bookmarkStart w:id="12" w:name="_Toc187227199"/>
      <w:r w:rsidRPr="00A32A92">
        <w:rPr>
          <w:rFonts w:ascii="Trebuchet MS" w:eastAsiaTheme="minorHAnsi" w:hAnsi="Trebuchet MS"/>
          <w:color w:val="auto"/>
          <w:lang w:eastAsia="en-US"/>
        </w:rPr>
        <w:t>Natiiviröntgentoiminta (ml. hammaskuvaukset ja mammografia)</w:t>
      </w:r>
      <w:bookmarkEnd w:id="12"/>
    </w:p>
    <w:p w14:paraId="089978FE"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Tilojen rakenteelliset suojaukset mitoitetaan siten, ettei työperäistä altistusta siroavasta säteilystä esiinny natiivikuvaustoiminnassa. Natiivi</w:t>
      </w:r>
      <w:r>
        <w:rPr>
          <w:rFonts w:eastAsiaTheme="minorHAnsi" w:cstheme="minorBidi"/>
          <w:lang w:eastAsia="en-US"/>
        </w:rPr>
        <w:t>kuvausten</w:t>
      </w:r>
      <w:r w:rsidRPr="00760DC7">
        <w:rPr>
          <w:rFonts w:eastAsiaTheme="minorHAnsi" w:cstheme="minorBidi"/>
          <w:lang w:eastAsia="en-US"/>
        </w:rPr>
        <w:t xml:space="preserve"> osalta kuvaushuoneisiin pääsy estetään pääasiallisesti varoitusvaloin ja -kyltein tai pitämällä ovet lukittuna kuvausten aikana. Natiiviröntgenkuvauksiin tulevat potilaat haetaan erikseen ja yksitellen kuvaushuoneeseen. Mammografian osalta hoitaja on kuvauksen aikana kuvaushuoneessa kiinteän säteilysuojan takana varmistaen kuvauksen onnistumisen laadukkaasti.</w:t>
      </w:r>
    </w:p>
    <w:p w14:paraId="02C355AF"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Lasten natiivi- ja hammaskuvausten osalta kuvattavat joko haetaan erikseen yksitellen kuvaushuoneeseen tai mukana on saattaja, joka on kuvauksen yhteydessä tyypillisesti kuvaushuoneen ulkopuolella. Pienen lapsen kohdalla saattaja voi olla myös kuvaushuoneen sisällä </w:t>
      </w:r>
      <w:r w:rsidRPr="00760DC7">
        <w:rPr>
          <w:rFonts w:eastAsiaTheme="minorHAnsi" w:cstheme="minorBidi"/>
          <w:lang w:eastAsia="en-US"/>
        </w:rPr>
        <w:lastRenderedPageBreak/>
        <w:t xml:space="preserve">lapsen tukena. Joissakin tilanteissa kuvaushuoneessa voi olla myös kiinnipitäjä (esim. kehitysvammaiset henkilöt, lapset), joka on vasta viime vaiheessa röntgenhoitaja. Jos saattaja on raskaana, niin tällöin röntgenhoitaja toimii kiinnipitäjänä, ja huolehtii normaalista suojien käytöstä hänellä itsellään. Kiinnipitäjä kirjataan neaRis-järjestelmään. </w:t>
      </w:r>
    </w:p>
    <w:p w14:paraId="1ABAD0E6"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Mammografiakuvauksiin tulevat potilaat haetaan erikseen ja yksitellen kuvaushuoneeseen. Mammografiassa hoitaja on kuvauksen aikana kuvaushuoneessa ja varmistaa näin kuvauksen onnistumisen laadukkaasti.</w:t>
      </w:r>
    </w:p>
    <w:p w14:paraId="0BECD57C"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Työperäinen altistus on luokassa 3 (efektiivinen annos &lt; 1 mSv /vuosi), perustuen säteilynkäytön poikkeamista saatuihin efektiivisen annoksen arvioihin. </w:t>
      </w:r>
    </w:p>
    <w:p w14:paraId="17C6BCEF"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Natiivikuvaus tehdään joko yksin tai parityöskentelynä, jossa toinen asettelee potilaan ja toinen suorittaa kuvauksen ja kirjaamisen. Kuvaus aloitetaan vasta, kun potilashoitaja on tullut pois kuvaushuoneesta (pl. mammografiakuvaukset).  </w:t>
      </w:r>
    </w:p>
    <w:p w14:paraId="3E4AC9DB" w14:textId="77777777" w:rsidR="00A32A92" w:rsidRPr="00760DC7" w:rsidRDefault="00A32A92" w:rsidP="00A32A92">
      <w:pPr>
        <w:spacing w:after="160" w:line="259" w:lineRule="auto"/>
        <w:jc w:val="both"/>
        <w:rPr>
          <w:rFonts w:eastAsiaTheme="minorHAnsi" w:cstheme="minorBidi"/>
          <w:lang w:eastAsia="en-US"/>
        </w:rPr>
      </w:pPr>
    </w:p>
    <w:p w14:paraId="562EB6C4" w14:textId="77777777" w:rsidR="00A32A92" w:rsidRPr="00A32A92" w:rsidRDefault="00A32A92" w:rsidP="00A32A92">
      <w:pPr>
        <w:pStyle w:val="Otsikko20"/>
        <w:rPr>
          <w:rFonts w:ascii="Trebuchet MS" w:eastAsiaTheme="minorHAnsi" w:hAnsi="Trebuchet MS"/>
          <w:color w:val="auto"/>
          <w:lang w:eastAsia="en-US"/>
        </w:rPr>
      </w:pPr>
      <w:bookmarkStart w:id="13" w:name="_Toc187227200"/>
      <w:r w:rsidRPr="00A32A92">
        <w:rPr>
          <w:rFonts w:ascii="Trebuchet MS" w:eastAsiaTheme="minorHAnsi" w:hAnsi="Trebuchet MS"/>
          <w:color w:val="auto"/>
          <w:lang w:eastAsia="en-US"/>
        </w:rPr>
        <w:t>Läpivalaisu-ja angiografiatutkimukset sekä -toimenpiteet</w:t>
      </w:r>
      <w:bookmarkEnd w:id="13"/>
    </w:p>
    <w:p w14:paraId="59265FBC" w14:textId="2A3B550F" w:rsidR="00A32A92"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Työperäinen säteilyaltistus toimenpideradiologiassa tulee lähinnä potilaasta sirovasta säteilystä. Toimenpiteen aikana säteilyn ollessa päällä huoneessa on pääsääntöisesti toimenpiteen suorittaja (toimenpideradiologi tms.), sekä 1 hoitaja, vaativimmissa toimenpiteissä </w:t>
      </w:r>
      <w:r w:rsidR="00F96B8E" w:rsidRPr="00760DC7">
        <w:rPr>
          <w:rFonts w:eastAsiaTheme="minorHAnsi" w:cstheme="minorBidi"/>
          <w:lang w:eastAsia="en-US"/>
        </w:rPr>
        <w:t>1–3</w:t>
      </w:r>
      <w:r w:rsidRPr="00760DC7">
        <w:rPr>
          <w:rFonts w:eastAsiaTheme="minorHAnsi" w:cstheme="minorBidi"/>
          <w:lang w:eastAsia="en-US"/>
        </w:rPr>
        <w:t xml:space="preserve"> hoitajaa. Kuvausten ajaksi kaikki työntekijät poistuvat huoneesta. Kaikkien toimintaan osallistuvien työntekijöiden säteilyaltistus minimoidaan käyttämällä henkilökohtaisia suojaimia, liikuteltavia ja kiinteitä suojia, osoittamalla turvallisin paikka laitteesta tulevan siroavan säteilyn suhteen ja näiden yhdistelmällä. Lisäksi kaikilla toimenpideradiologiassa työskentelevillä henkilöillä on henkilökohtaiset dosimetrit, joilla altistusta seurataan. </w:t>
      </w:r>
    </w:p>
    <w:p w14:paraId="303383AB" w14:textId="77777777" w:rsidR="00A32A92"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Toimenpiteentekijöiden säteilyaltistusta seurataan annoskeräysohjelman kautta, minkä lisäksi henkilökunnan säteilyannoksia on mitattu määräajoin. Kustakin angio- ja läpivalaisutoimintaa sisältävästä huoneesta on määritetty sirontakartat fantom-mittauksilla tavallisimpia tutkimuksia ja toimenpiteitä simuloiden. Näiden mittausten pohjalta on optimoitu henkilökunnan sijoittumista tutkimusten aikana kuvaushuoneessa. </w:t>
      </w:r>
    </w:p>
    <w:p w14:paraId="434EFED4" w14:textId="77777777" w:rsidR="00A32A92" w:rsidRPr="00F9090C" w:rsidRDefault="00A32A92" w:rsidP="00A32A92">
      <w:pPr>
        <w:spacing w:after="160" w:line="259" w:lineRule="auto"/>
        <w:contextualSpacing/>
        <w:jc w:val="both"/>
        <w:rPr>
          <w:rFonts w:eastAsiaTheme="minorEastAsia" w:cstheme="minorBidi"/>
          <w:lang w:eastAsia="en-US"/>
        </w:rPr>
      </w:pPr>
      <w:r w:rsidRPr="0C11ACE2">
        <w:rPr>
          <w:rFonts w:eastAsiaTheme="minorEastAsia" w:cstheme="minorBidi"/>
          <w:lang w:eastAsia="en-US"/>
        </w:rPr>
        <w:t xml:space="preserve">Annosseurannan perusteella toimenpideradiologien (pois lukien yleisangiografia), sekä toimenpiteissä mukana olevien hoitajien annokset voivat ylittää 1 mSv:n, mutta jäävät alle 6 mSv:n, ja luetaan työperäisen altistuksen osalta altistusluokkaan 2. Toimenpiteiden haastavuuden johdosta </w:t>
      </w:r>
      <w:r w:rsidRPr="643013F0">
        <w:rPr>
          <w:rFonts w:eastAsiaTheme="minorEastAsia" w:cstheme="minorBidi"/>
          <w:lang w:eastAsia="en-US"/>
        </w:rPr>
        <w:t xml:space="preserve">yksittäisillä toimenpideradiologeilla, vuotuinen pinta-annos voi ylittää yli 6 mSv:n. Suojat huomioiden (1-3 % pinta-annoksesta [1,2]), kuitenkin efektiivinen annos jää </w:t>
      </w:r>
      <w:r w:rsidRPr="0C11ACE2">
        <w:rPr>
          <w:rFonts w:eastAsiaTheme="minorEastAsia" w:cstheme="minorBidi"/>
          <w:lang w:eastAsia="en-US"/>
        </w:rPr>
        <w:t xml:space="preserve">työperäisen altistuksen osalta altistusluokkaan </w:t>
      </w:r>
      <w:r w:rsidRPr="643013F0">
        <w:rPr>
          <w:rFonts w:eastAsiaTheme="minorEastAsia" w:cstheme="minorBidi"/>
          <w:lang w:eastAsia="en-US"/>
        </w:rPr>
        <w:t>2</w:t>
      </w:r>
      <w:r w:rsidRPr="264DB1FA">
        <w:rPr>
          <w:rFonts w:eastAsiaTheme="minorEastAsia" w:cstheme="minorBidi"/>
          <w:lang w:eastAsia="en-US"/>
        </w:rPr>
        <w:t>.</w:t>
      </w:r>
    </w:p>
    <w:p w14:paraId="4892DE56" w14:textId="77777777" w:rsidR="00A32A92" w:rsidRPr="001B3B39" w:rsidRDefault="00A32A92" w:rsidP="00A32A92">
      <w:pPr>
        <w:spacing w:after="160" w:line="259" w:lineRule="auto"/>
        <w:contextualSpacing/>
        <w:jc w:val="both"/>
        <w:rPr>
          <w:rFonts w:eastAsiaTheme="minorHAnsi" w:cstheme="minorBidi"/>
          <w:color w:val="4B6BC8" w:themeColor="accent1"/>
          <w:lang w:eastAsia="en-US"/>
        </w:rPr>
      </w:pPr>
    </w:p>
    <w:p w14:paraId="4568627B"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Potilaan säteilyannoksen optimoinnin toimenpiteet auttavat myös työntekijöiden säteilyaltistuksen minimoinnissa. Henkilökunnan annoksia on mitattu erikseen ja tutkittu henkilökunnan huoneessa sijoittumista. Eri angiografia- ja lpv-huoneista on piirretty sirontakartta tavallisimpia toimenpiteitä ja tutkimuksia simuloiden ja mitaten fantom-mittauksena.</w:t>
      </w:r>
    </w:p>
    <w:p w14:paraId="5096EF56" w14:textId="77777777" w:rsidR="00A32A92" w:rsidRPr="00760DC7" w:rsidRDefault="00A32A92" w:rsidP="00A32A92">
      <w:pPr>
        <w:spacing w:after="160" w:line="259" w:lineRule="auto"/>
        <w:jc w:val="both"/>
        <w:rPr>
          <w:rFonts w:eastAsiaTheme="minorHAnsi" w:cstheme="minorBidi"/>
          <w:lang w:eastAsia="en-US"/>
        </w:rPr>
      </w:pPr>
    </w:p>
    <w:p w14:paraId="49688A3D" w14:textId="77777777" w:rsidR="00A32A92" w:rsidRPr="00A32A92" w:rsidRDefault="00A32A92" w:rsidP="00A32A92">
      <w:pPr>
        <w:pStyle w:val="Otsikko10"/>
        <w:rPr>
          <w:rFonts w:ascii="Trebuchet MS" w:eastAsiaTheme="minorHAnsi" w:hAnsi="Trebuchet MS"/>
          <w:color w:val="auto"/>
          <w:lang w:eastAsia="en-US"/>
        </w:rPr>
      </w:pPr>
      <w:bookmarkStart w:id="14" w:name="_Toc187227201"/>
      <w:r w:rsidRPr="00A32A92">
        <w:rPr>
          <w:rFonts w:ascii="Trebuchet MS" w:eastAsiaTheme="minorHAnsi" w:hAnsi="Trebuchet MS"/>
          <w:color w:val="auto"/>
          <w:lang w:eastAsia="en-US"/>
        </w:rPr>
        <w:lastRenderedPageBreak/>
        <w:t>5. Väestön altistus</w:t>
      </w:r>
      <w:bookmarkEnd w:id="14"/>
    </w:p>
    <w:p w14:paraId="4A8C1163"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Väestön altistus radiologisessa toiminnassa koostuu mahdollisesta kuvantamishuoneiden seinien läpi tulevasta säteilystä, liikuteltavien kuvantamislaitteiden hajasäteilystä ja poikkeustilanteista, joissa väestön edustaja pääsee kuvaushuoneeseen säteilyn ollessa päällä sekä vierailijoista. Radiologisten tilojen suunnittelussa sekä liikuteltavien laitteiden käytössä sovellettavien ohjeiden perusteella väestön altistus pidetään alle 0,1 mSv suuruisena, jolloin toiminnasta aiheutuva väestön altistuksen luokka on 3 tai E kaikissa radiologian kuvantamismodaliteeteissa. Tämä perustuu paitsi yllä mainittuun säteilysuojeluun, ohjeistukseen ja laadunvarmistukseen, myös lääketieteellisessä säteilynkäytössä havaittuihin poikkeamiin.</w:t>
      </w:r>
    </w:p>
    <w:p w14:paraId="7A83EAE3" w14:textId="0224C1DC"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Mikäli väestön edustaja pääsee kuvaushuoneen puolelle säteilyn ollessa päällä, on efektiivinen säteilyannos arviolta enintään 10 µSv, perustuen toteutuneisiin säteily</w:t>
      </w:r>
      <w:r w:rsidR="00F96B8E">
        <w:rPr>
          <w:rFonts w:eastAsiaTheme="minorHAnsi" w:cstheme="minorBidi"/>
          <w:lang w:eastAsia="en-US"/>
        </w:rPr>
        <w:t>turvallisuus</w:t>
      </w:r>
      <w:r w:rsidRPr="00760DC7">
        <w:rPr>
          <w:rFonts w:eastAsiaTheme="minorHAnsi" w:cstheme="minorBidi"/>
          <w:lang w:eastAsia="en-US"/>
        </w:rPr>
        <w:t>poikkeamiin.</w:t>
      </w:r>
    </w:p>
    <w:p w14:paraId="31D70432" w14:textId="572DD01D"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Väline-</w:t>
      </w:r>
      <w:r w:rsidR="00F96B8E">
        <w:rPr>
          <w:rFonts w:eastAsiaTheme="minorHAnsi" w:cstheme="minorBidi"/>
          <w:lang w:eastAsia="en-US"/>
        </w:rPr>
        <w:t xml:space="preserve"> </w:t>
      </w:r>
      <w:r w:rsidRPr="00760DC7">
        <w:rPr>
          <w:rFonts w:eastAsiaTheme="minorHAnsi" w:cstheme="minorBidi"/>
          <w:lang w:eastAsia="en-US"/>
        </w:rPr>
        <w:t xml:space="preserve">ja laite-edustajat ja -kouluttajat ovat toimenpidehuoneissa mahdollisimman vähän ja opastus tapahtuu mahdollisimman paljon mikrofoniyhteyden avulla. </w:t>
      </w:r>
    </w:p>
    <w:p w14:paraId="20C8C436" w14:textId="77777777" w:rsidR="00A32A92" w:rsidRDefault="00A32A92" w:rsidP="00A32A92">
      <w:pPr>
        <w:spacing w:after="160" w:line="259" w:lineRule="auto"/>
        <w:jc w:val="both"/>
        <w:rPr>
          <w:rFonts w:eastAsiaTheme="minorHAnsi" w:cstheme="minorBidi"/>
          <w:lang w:eastAsia="en-US"/>
        </w:rPr>
      </w:pPr>
      <w:r w:rsidRPr="0C11ACE2">
        <w:rPr>
          <w:rFonts w:eastAsiaTheme="minorEastAsia" w:cstheme="minorBidi"/>
          <w:lang w:eastAsia="en-US"/>
        </w:rPr>
        <w:t xml:space="preserve">Osassa angiografia ja TT-huoneita kuvaustiloihin pääsy on estetty automaattisesti lukkiutuvilla ovilla, kun säteilytys on päällä. Muihin säteilytiloihin johtavilla ovilla on varoitusmerkit ja/tai valot varoittamassa säteilyvaarasta. </w:t>
      </w:r>
      <w:r w:rsidRPr="00760DC7">
        <w:rPr>
          <w:rFonts w:eastAsiaTheme="minorHAnsi" w:cstheme="minorBidi"/>
          <w:lang w:eastAsia="en-US"/>
        </w:rPr>
        <w:t xml:space="preserve"> </w:t>
      </w:r>
    </w:p>
    <w:p w14:paraId="511C217C" w14:textId="77777777" w:rsidR="00A32A92" w:rsidRDefault="00A32A92" w:rsidP="00A32A92">
      <w:pPr>
        <w:spacing w:after="160" w:line="259" w:lineRule="auto"/>
        <w:jc w:val="both"/>
        <w:rPr>
          <w:rFonts w:eastAsiaTheme="minorHAnsi" w:cstheme="minorBidi"/>
          <w:lang w:eastAsia="en-US"/>
        </w:rPr>
      </w:pPr>
    </w:p>
    <w:p w14:paraId="3F3D7208" w14:textId="77777777" w:rsidR="00A32A92" w:rsidRPr="00A32A92" w:rsidRDefault="00A32A92" w:rsidP="00A32A92">
      <w:pPr>
        <w:pStyle w:val="Otsikko10"/>
        <w:rPr>
          <w:rFonts w:ascii="Trebuchet MS" w:eastAsiaTheme="minorEastAsia" w:hAnsi="Trebuchet MS"/>
          <w:color w:val="auto"/>
          <w:lang w:eastAsia="en-US"/>
        </w:rPr>
      </w:pPr>
      <w:bookmarkStart w:id="15" w:name="_Toc1213444297"/>
      <w:bookmarkStart w:id="16" w:name="_Toc187227202"/>
      <w:r w:rsidRPr="00A32A92">
        <w:rPr>
          <w:rFonts w:ascii="Trebuchet MS" w:eastAsiaTheme="minorEastAsia" w:hAnsi="Trebuchet MS"/>
          <w:color w:val="auto"/>
          <w:lang w:eastAsia="en-US"/>
        </w:rPr>
        <w:t xml:space="preserve">6. Luokittelujen </w:t>
      </w:r>
      <w:bookmarkEnd w:id="15"/>
      <w:r w:rsidRPr="00A32A92">
        <w:rPr>
          <w:rFonts w:ascii="Trebuchet MS" w:eastAsiaTheme="minorEastAsia" w:hAnsi="Trebuchet MS"/>
          <w:color w:val="auto"/>
          <w:lang w:eastAsia="en-US"/>
        </w:rPr>
        <w:t>kooste</w:t>
      </w:r>
      <w:bookmarkEnd w:id="16"/>
    </w:p>
    <w:p w14:paraId="334C6A88" w14:textId="77777777" w:rsidR="00A32A92" w:rsidRPr="00F9090C" w:rsidRDefault="00A32A92" w:rsidP="00A32A92">
      <w:pPr>
        <w:spacing w:after="160" w:line="259" w:lineRule="auto"/>
        <w:jc w:val="both"/>
        <w:rPr>
          <w:rFonts w:eastAsiaTheme="minorHAnsi" w:cstheme="minorBidi"/>
          <w:lang w:eastAsia="en-US"/>
        </w:rPr>
      </w:pPr>
      <w:r w:rsidRPr="00F9090C">
        <w:rPr>
          <w:rFonts w:eastAsiaTheme="minorHAnsi" w:cstheme="minorBidi"/>
          <w:lang w:eastAsia="en-US"/>
        </w:rPr>
        <w:t xml:space="preserve">Taulukkoon </w:t>
      </w:r>
      <w:r>
        <w:rPr>
          <w:rFonts w:eastAsiaTheme="minorHAnsi" w:cstheme="minorBidi"/>
          <w:lang w:eastAsia="en-US"/>
        </w:rPr>
        <w:t>3</w:t>
      </w:r>
      <w:r w:rsidRPr="00F9090C">
        <w:rPr>
          <w:rFonts w:eastAsiaTheme="minorHAnsi" w:cstheme="minorBidi"/>
          <w:lang w:eastAsia="en-US"/>
        </w:rPr>
        <w:t xml:space="preserve"> on koottu toiminnan mukaan lajiteltuna kappaleessa 2 esitetyt lääketieteellisen altistuksen luokittelut, sekä työperäinen ja väestönaltistuksen luokittelu.</w:t>
      </w:r>
    </w:p>
    <w:p w14:paraId="159FC424" w14:textId="77777777" w:rsidR="00A32A92" w:rsidRPr="00F9090C" w:rsidRDefault="00A32A92" w:rsidP="00A32A92">
      <w:pPr>
        <w:spacing w:after="160" w:line="259" w:lineRule="auto"/>
        <w:jc w:val="both"/>
        <w:rPr>
          <w:rFonts w:eastAsiaTheme="minorHAnsi" w:cstheme="minorBidi"/>
          <w:lang w:eastAsia="en-US"/>
        </w:rPr>
      </w:pPr>
    </w:p>
    <w:p w14:paraId="2D345FA9" w14:textId="77777777" w:rsidR="00A32A92" w:rsidRPr="00F9090C" w:rsidRDefault="00A32A92" w:rsidP="00A32A92">
      <w:pPr>
        <w:keepNext/>
        <w:spacing w:after="160" w:line="259" w:lineRule="auto"/>
        <w:jc w:val="both"/>
      </w:pPr>
      <w:r w:rsidRPr="00F9090C">
        <w:rPr>
          <w:rFonts w:eastAsiaTheme="minorHAnsi" w:cstheme="minorBidi"/>
          <w:lang w:eastAsia="en-US"/>
        </w:rPr>
        <w:t xml:space="preserve">Taulukko </w:t>
      </w:r>
      <w:r>
        <w:rPr>
          <w:rFonts w:eastAsiaTheme="minorHAnsi" w:cstheme="minorBidi"/>
          <w:lang w:eastAsia="en-US"/>
        </w:rPr>
        <w:t>3</w:t>
      </w:r>
      <w:r w:rsidRPr="00F9090C">
        <w:rPr>
          <w:rFonts w:eastAsiaTheme="minorHAnsi" w:cstheme="minorBidi"/>
          <w:b/>
          <w:bCs/>
          <w:lang w:eastAsia="en-US"/>
        </w:rPr>
        <w:t>:</w:t>
      </w:r>
      <w:r w:rsidRPr="00F9090C">
        <w:rPr>
          <w:rFonts w:eastAsiaTheme="minorHAnsi" w:cstheme="minorBidi"/>
          <w:lang w:eastAsia="en-US"/>
        </w:rPr>
        <w:t xml:space="preserve"> Lääketieteellisen, työperäisen ja väestön altistuksen luokat ja annosrajoitukset lajiteltuna toiminnan mukaan. </w:t>
      </w:r>
    </w:p>
    <w:tbl>
      <w:tblPr>
        <w:tblStyle w:val="Yksinkertainentaulukko313"/>
        <w:tblW w:w="9671" w:type="dxa"/>
        <w:tblInd w:w="-108" w:type="dxa"/>
        <w:tblLook w:val="04A0" w:firstRow="1" w:lastRow="0" w:firstColumn="1" w:lastColumn="0" w:noHBand="0" w:noVBand="1"/>
      </w:tblPr>
      <w:tblGrid>
        <w:gridCol w:w="2986"/>
        <w:gridCol w:w="2272"/>
        <w:gridCol w:w="2268"/>
        <w:gridCol w:w="2207"/>
      </w:tblGrid>
      <w:tr w:rsidR="00A32A92" w:rsidRPr="00262AF4" w14:paraId="535FC19B" w14:textId="77777777" w:rsidTr="008B4EAF">
        <w:trPr>
          <w:cnfStyle w:val="100000000000" w:firstRow="1" w:lastRow="0" w:firstColumn="0" w:lastColumn="0" w:oddVBand="0" w:evenVBand="0" w:oddHBand="0" w:evenHBand="0" w:firstRowFirstColumn="0" w:firstRowLastColumn="0" w:lastRowFirstColumn="0" w:lastRowLastColumn="0"/>
          <w:trHeight w:val="444"/>
        </w:trPr>
        <w:tc>
          <w:tcPr>
            <w:cnfStyle w:val="001000000100" w:firstRow="0" w:lastRow="0" w:firstColumn="1" w:lastColumn="0" w:oddVBand="0" w:evenVBand="0" w:oddHBand="0" w:evenHBand="0" w:firstRowFirstColumn="1" w:firstRowLastColumn="0" w:lastRowFirstColumn="0" w:lastRowLastColumn="0"/>
            <w:tcW w:w="2986" w:type="dxa"/>
            <w:noWrap/>
            <w:hideMark/>
          </w:tcPr>
          <w:p w14:paraId="4D46B447" w14:textId="77777777" w:rsidR="00A32A92" w:rsidRPr="00E56E66" w:rsidRDefault="00A32A92" w:rsidP="008B4EAF">
            <w:pPr>
              <w:rPr>
                <w:rFonts w:cs="Calibri"/>
                <w:bCs w:val="0"/>
              </w:rPr>
            </w:pPr>
            <w:r w:rsidRPr="00262AF4">
              <w:rPr>
                <w:rFonts w:cs="Calibri"/>
              </w:rPr>
              <w:t>Toiminta</w:t>
            </w:r>
          </w:p>
        </w:tc>
        <w:tc>
          <w:tcPr>
            <w:tcW w:w="2210" w:type="dxa"/>
            <w:noWrap/>
            <w:hideMark/>
          </w:tcPr>
          <w:p w14:paraId="2C7EF87D" w14:textId="77777777" w:rsidR="00A32A92" w:rsidRPr="00E56E66" w:rsidRDefault="00A32A92" w:rsidP="008B4EAF">
            <w:pPr>
              <w:cnfStyle w:val="100000000000" w:firstRow="1" w:lastRow="0" w:firstColumn="0" w:lastColumn="0" w:oddVBand="0" w:evenVBand="0" w:oddHBand="0" w:evenHBand="0" w:firstRowFirstColumn="0" w:firstRowLastColumn="0" w:lastRowFirstColumn="0" w:lastRowLastColumn="0"/>
              <w:rPr>
                <w:rFonts w:cs="Calibri"/>
                <w:bCs w:val="0"/>
              </w:rPr>
            </w:pPr>
            <w:r w:rsidRPr="00262AF4">
              <w:rPr>
                <w:rFonts w:cs="Calibri"/>
              </w:rPr>
              <w:t>Lääketieteellisen altistuksen luokka</w:t>
            </w:r>
          </w:p>
        </w:tc>
        <w:tc>
          <w:tcPr>
            <w:tcW w:w="2268" w:type="dxa"/>
            <w:noWrap/>
            <w:hideMark/>
          </w:tcPr>
          <w:p w14:paraId="1E0F8E15" w14:textId="77777777" w:rsidR="00A32A92" w:rsidRPr="00E56E66" w:rsidRDefault="00A32A92" w:rsidP="008B4EAF">
            <w:pPr>
              <w:cnfStyle w:val="100000000000" w:firstRow="1" w:lastRow="0" w:firstColumn="0" w:lastColumn="0" w:oddVBand="0" w:evenVBand="0" w:oddHBand="0" w:evenHBand="0" w:firstRowFirstColumn="0" w:firstRowLastColumn="0" w:lastRowFirstColumn="0" w:lastRowLastColumn="0"/>
              <w:rPr>
                <w:rFonts w:cs="Calibri"/>
                <w:bCs w:val="0"/>
              </w:rPr>
            </w:pPr>
            <w:r w:rsidRPr="00262AF4">
              <w:rPr>
                <w:rFonts w:cs="Calibri"/>
              </w:rPr>
              <w:t>Työperäisen altistuksen luokka (annosrajoitus)</w:t>
            </w:r>
          </w:p>
        </w:tc>
        <w:tc>
          <w:tcPr>
            <w:tcW w:w="2207" w:type="dxa"/>
            <w:noWrap/>
            <w:hideMark/>
          </w:tcPr>
          <w:p w14:paraId="55CA77B8" w14:textId="77777777" w:rsidR="00A32A92" w:rsidRPr="00E56E66" w:rsidRDefault="00A32A92" w:rsidP="008B4EAF">
            <w:pPr>
              <w:cnfStyle w:val="100000000000" w:firstRow="1" w:lastRow="0" w:firstColumn="0" w:lastColumn="0" w:oddVBand="0" w:evenVBand="0" w:oddHBand="0" w:evenHBand="0" w:firstRowFirstColumn="0" w:firstRowLastColumn="0" w:lastRowFirstColumn="0" w:lastRowLastColumn="0"/>
              <w:rPr>
                <w:rFonts w:cs="Calibri"/>
                <w:bCs w:val="0"/>
              </w:rPr>
            </w:pPr>
            <w:r w:rsidRPr="00262AF4">
              <w:rPr>
                <w:rFonts w:cs="Calibri"/>
              </w:rPr>
              <w:t>Väestön altistuksen luokka (annosrajoitus</w:t>
            </w:r>
            <w:r w:rsidRPr="00E56E66">
              <w:rPr>
                <w:rFonts w:cs="Calibri"/>
              </w:rPr>
              <w:t>)</w:t>
            </w:r>
          </w:p>
        </w:tc>
      </w:tr>
      <w:tr w:rsidR="00A32A92" w:rsidRPr="00B01F26" w14:paraId="0E3CE364" w14:textId="77777777" w:rsidTr="008B4EAF">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986" w:type="dxa"/>
            <w:vAlign w:val="center"/>
            <w:hideMark/>
          </w:tcPr>
          <w:p w14:paraId="1B934980" w14:textId="77777777" w:rsidR="00A32A92" w:rsidRPr="00E56E66" w:rsidRDefault="00A32A92" w:rsidP="008B4EAF">
            <w:pPr>
              <w:rPr>
                <w:rFonts w:cs="Calibri"/>
                <w:color w:val="000000"/>
                <w:sz w:val="20"/>
                <w:szCs w:val="20"/>
              </w:rPr>
            </w:pPr>
            <w:r w:rsidRPr="00E56E66">
              <w:rPr>
                <w:rFonts w:cs="Calibri"/>
                <w:color w:val="000000"/>
                <w:sz w:val="20"/>
                <w:szCs w:val="20"/>
              </w:rPr>
              <w:t xml:space="preserve">1. </w:t>
            </w:r>
            <w:r w:rsidRPr="00262AF4">
              <w:rPr>
                <w:rFonts w:cs="Calibri"/>
                <w:color w:val="000000"/>
                <w:sz w:val="20"/>
                <w:szCs w:val="20"/>
              </w:rPr>
              <w:t xml:space="preserve">Natiiviröntgentoiminta (sis. </w:t>
            </w:r>
            <w:r>
              <w:rPr>
                <w:rFonts w:cs="Calibri"/>
                <w:caps w:val="0"/>
                <w:color w:val="000000"/>
                <w:sz w:val="20"/>
                <w:szCs w:val="20"/>
              </w:rPr>
              <w:t>M</w:t>
            </w:r>
            <w:r w:rsidRPr="00262AF4">
              <w:rPr>
                <w:rFonts w:cs="Calibri"/>
                <w:color w:val="000000"/>
                <w:sz w:val="20"/>
                <w:szCs w:val="20"/>
              </w:rPr>
              <w:t>ammografia</w:t>
            </w:r>
            <w:r w:rsidRPr="00E56E66">
              <w:rPr>
                <w:rFonts w:cs="Calibri"/>
                <w:color w:val="000000"/>
                <w:sz w:val="20"/>
                <w:szCs w:val="20"/>
              </w:rPr>
              <w:t>)</w:t>
            </w:r>
          </w:p>
        </w:tc>
        <w:tc>
          <w:tcPr>
            <w:tcW w:w="2210" w:type="dxa"/>
            <w:noWrap/>
            <w:vAlign w:val="center"/>
          </w:tcPr>
          <w:p w14:paraId="7C778671" w14:textId="77777777" w:rsidR="00A32A92" w:rsidRPr="00DE69E4" w:rsidRDefault="00A32A92" w:rsidP="008B4EAF">
            <w:pPr>
              <w:ind w:left="-106"/>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B01F26">
              <w:rPr>
                <w:rFonts w:cs="Calibri"/>
                <w:color w:val="000000"/>
              </w:rPr>
              <w:t>2</w:t>
            </w:r>
          </w:p>
        </w:tc>
        <w:tc>
          <w:tcPr>
            <w:tcW w:w="2268" w:type="dxa"/>
            <w:noWrap/>
            <w:vAlign w:val="center"/>
          </w:tcPr>
          <w:p w14:paraId="106DA02E" w14:textId="77777777" w:rsidR="00A32A92" w:rsidRPr="00F96B8E" w:rsidRDefault="00A32A92" w:rsidP="008B4EAF">
            <w:pPr>
              <w:ind w:left="-106"/>
              <w:jc w:val="center"/>
              <w:cnfStyle w:val="000000100000" w:firstRow="0" w:lastRow="0" w:firstColumn="0" w:lastColumn="0" w:oddVBand="0" w:evenVBand="0" w:oddHBand="1" w:evenHBand="0" w:firstRowFirstColumn="0" w:firstRowLastColumn="0" w:lastRowFirstColumn="0" w:lastRowLastColumn="0"/>
              <w:rPr>
                <w:rFonts w:cs="Calibri"/>
              </w:rPr>
            </w:pPr>
            <w:r w:rsidRPr="00F96B8E">
              <w:rPr>
                <w:rFonts w:cs="Calibri"/>
              </w:rPr>
              <w:t xml:space="preserve"> 3 (0,1 mSv)</w:t>
            </w:r>
          </w:p>
        </w:tc>
        <w:tc>
          <w:tcPr>
            <w:tcW w:w="2207" w:type="dxa"/>
            <w:noWrap/>
            <w:vAlign w:val="center"/>
          </w:tcPr>
          <w:p w14:paraId="58A6B364" w14:textId="77777777" w:rsidR="00A32A92" w:rsidRPr="00DE69E4" w:rsidRDefault="00A32A92" w:rsidP="008B4EAF">
            <w:pPr>
              <w:ind w:left="-106"/>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B01F26">
              <w:rPr>
                <w:rFonts w:cs="Calibri"/>
                <w:color w:val="000000"/>
              </w:rPr>
              <w:t xml:space="preserve"> 3 (0,1 mSv)</w:t>
            </w:r>
          </w:p>
        </w:tc>
      </w:tr>
      <w:tr w:rsidR="00A32A92" w:rsidRPr="00B01F26" w14:paraId="7581FB0B" w14:textId="77777777" w:rsidTr="008B4EAF">
        <w:trPr>
          <w:trHeight w:val="396"/>
        </w:trPr>
        <w:tc>
          <w:tcPr>
            <w:cnfStyle w:val="001000000000" w:firstRow="0" w:lastRow="0" w:firstColumn="1" w:lastColumn="0" w:oddVBand="0" w:evenVBand="0" w:oddHBand="0" w:evenHBand="0" w:firstRowFirstColumn="0" w:firstRowLastColumn="0" w:lastRowFirstColumn="0" w:lastRowLastColumn="0"/>
            <w:tcW w:w="2986" w:type="dxa"/>
            <w:noWrap/>
            <w:vAlign w:val="center"/>
            <w:hideMark/>
          </w:tcPr>
          <w:p w14:paraId="50EC218F" w14:textId="77777777" w:rsidR="00A32A92" w:rsidRPr="00E56E66" w:rsidRDefault="00A32A92" w:rsidP="008B4EAF">
            <w:pPr>
              <w:rPr>
                <w:rFonts w:cs="Calibri"/>
                <w:color w:val="000000"/>
                <w:sz w:val="20"/>
                <w:szCs w:val="20"/>
              </w:rPr>
            </w:pPr>
            <w:r w:rsidRPr="00E56E66">
              <w:rPr>
                <w:rFonts w:cs="Calibri"/>
                <w:color w:val="000000"/>
                <w:sz w:val="20"/>
                <w:szCs w:val="20"/>
              </w:rPr>
              <w:t xml:space="preserve">2. </w:t>
            </w:r>
            <w:r w:rsidRPr="00262AF4">
              <w:rPr>
                <w:rFonts w:cs="Calibri"/>
                <w:color w:val="000000"/>
                <w:sz w:val="20"/>
                <w:szCs w:val="20"/>
              </w:rPr>
              <w:t>Hammaskuvaus</w:t>
            </w:r>
          </w:p>
        </w:tc>
        <w:tc>
          <w:tcPr>
            <w:tcW w:w="2210" w:type="dxa"/>
            <w:noWrap/>
            <w:vAlign w:val="center"/>
          </w:tcPr>
          <w:p w14:paraId="0DD04790" w14:textId="77777777" w:rsidR="00A32A92" w:rsidRPr="00DE69E4" w:rsidRDefault="00A32A92" w:rsidP="008B4EAF">
            <w:pPr>
              <w:ind w:left="-106"/>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w:t>
            </w:r>
          </w:p>
        </w:tc>
        <w:tc>
          <w:tcPr>
            <w:tcW w:w="2268" w:type="dxa"/>
            <w:noWrap/>
            <w:vAlign w:val="center"/>
          </w:tcPr>
          <w:p w14:paraId="0A562646" w14:textId="77777777" w:rsidR="00A32A92" w:rsidRPr="00F96B8E" w:rsidRDefault="00A32A92" w:rsidP="008B4EAF">
            <w:pPr>
              <w:ind w:left="-106"/>
              <w:jc w:val="center"/>
              <w:cnfStyle w:val="000000000000" w:firstRow="0" w:lastRow="0" w:firstColumn="0" w:lastColumn="0" w:oddVBand="0" w:evenVBand="0" w:oddHBand="0" w:evenHBand="0" w:firstRowFirstColumn="0" w:firstRowLastColumn="0" w:lastRowFirstColumn="0" w:lastRowLastColumn="0"/>
              <w:rPr>
                <w:rFonts w:cs="Calibri"/>
              </w:rPr>
            </w:pPr>
            <w:r w:rsidRPr="00F96B8E">
              <w:rPr>
                <w:rFonts w:cs="Calibri"/>
              </w:rPr>
              <w:t xml:space="preserve"> 3 (0,1 mSv)</w:t>
            </w:r>
          </w:p>
        </w:tc>
        <w:tc>
          <w:tcPr>
            <w:tcW w:w="2207" w:type="dxa"/>
            <w:noWrap/>
            <w:vAlign w:val="center"/>
          </w:tcPr>
          <w:p w14:paraId="2606FF6F" w14:textId="77777777" w:rsidR="00A32A92" w:rsidRPr="00DE69E4" w:rsidRDefault="00A32A92" w:rsidP="008B4EAF">
            <w:pPr>
              <w:ind w:left="-106"/>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B01F26">
              <w:rPr>
                <w:rFonts w:cs="Calibri"/>
                <w:color w:val="000000"/>
              </w:rPr>
              <w:t xml:space="preserve"> 3 (0,1 mSv)</w:t>
            </w:r>
          </w:p>
        </w:tc>
      </w:tr>
      <w:tr w:rsidR="00A32A92" w:rsidRPr="00F65411" w14:paraId="3DB7ADFC" w14:textId="77777777" w:rsidTr="008B4EA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986" w:type="dxa"/>
            <w:noWrap/>
            <w:vAlign w:val="center"/>
            <w:hideMark/>
          </w:tcPr>
          <w:p w14:paraId="1688DE44" w14:textId="77777777" w:rsidR="00A32A92" w:rsidRPr="00E56E66" w:rsidRDefault="00A32A92" w:rsidP="008B4EAF">
            <w:pPr>
              <w:rPr>
                <w:rFonts w:cs="Calibri"/>
                <w:color w:val="000000"/>
                <w:sz w:val="20"/>
                <w:szCs w:val="20"/>
              </w:rPr>
            </w:pPr>
            <w:r w:rsidRPr="00E56E66">
              <w:rPr>
                <w:rFonts w:cs="Calibri"/>
                <w:color w:val="000000"/>
                <w:sz w:val="20"/>
                <w:szCs w:val="20"/>
              </w:rPr>
              <w:t xml:space="preserve">3. </w:t>
            </w:r>
            <w:r w:rsidRPr="00262AF4">
              <w:rPr>
                <w:rFonts w:cs="Calibri"/>
                <w:color w:val="000000"/>
                <w:sz w:val="20"/>
                <w:szCs w:val="20"/>
              </w:rPr>
              <w:t xml:space="preserve">Hammas ja </w:t>
            </w:r>
            <w:r>
              <w:rPr>
                <w:rFonts w:cs="Calibri"/>
                <w:caps w:val="0"/>
                <w:color w:val="000000"/>
                <w:sz w:val="20"/>
                <w:szCs w:val="20"/>
              </w:rPr>
              <w:t>raaja</w:t>
            </w:r>
            <w:r w:rsidRPr="00262AF4">
              <w:rPr>
                <w:rFonts w:cs="Calibri"/>
                <w:color w:val="000000"/>
                <w:sz w:val="20"/>
                <w:szCs w:val="20"/>
              </w:rPr>
              <w:t>-kktt</w:t>
            </w:r>
          </w:p>
        </w:tc>
        <w:tc>
          <w:tcPr>
            <w:tcW w:w="2210" w:type="dxa"/>
            <w:noWrap/>
            <w:vAlign w:val="center"/>
          </w:tcPr>
          <w:p w14:paraId="1BC3A78E" w14:textId="77777777" w:rsidR="00A32A92" w:rsidRPr="00DE69E4" w:rsidRDefault="00A32A92" w:rsidP="008B4EAF">
            <w:pPr>
              <w:ind w:left="-106"/>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DE69E4">
              <w:rPr>
                <w:rFonts w:cs="Calibri"/>
                <w:color w:val="000000"/>
              </w:rPr>
              <w:t xml:space="preserve">2 </w:t>
            </w:r>
          </w:p>
        </w:tc>
        <w:tc>
          <w:tcPr>
            <w:tcW w:w="2268" w:type="dxa"/>
            <w:noWrap/>
            <w:vAlign w:val="center"/>
          </w:tcPr>
          <w:p w14:paraId="3BFFA5B0" w14:textId="77777777" w:rsidR="00A32A92" w:rsidRPr="00F96B8E" w:rsidRDefault="00A32A92" w:rsidP="008B4EAF">
            <w:pPr>
              <w:ind w:left="-106"/>
              <w:jc w:val="center"/>
              <w:cnfStyle w:val="000000100000" w:firstRow="0" w:lastRow="0" w:firstColumn="0" w:lastColumn="0" w:oddVBand="0" w:evenVBand="0" w:oddHBand="1" w:evenHBand="0" w:firstRowFirstColumn="0" w:firstRowLastColumn="0" w:lastRowFirstColumn="0" w:lastRowLastColumn="0"/>
              <w:rPr>
                <w:rFonts w:cs="Calibri"/>
              </w:rPr>
            </w:pPr>
            <w:r w:rsidRPr="00F96B8E">
              <w:rPr>
                <w:rFonts w:cs="Calibri"/>
              </w:rPr>
              <w:t xml:space="preserve"> 3 (0,1 mSv)</w:t>
            </w:r>
          </w:p>
        </w:tc>
        <w:tc>
          <w:tcPr>
            <w:tcW w:w="2207" w:type="dxa"/>
            <w:noWrap/>
            <w:vAlign w:val="center"/>
          </w:tcPr>
          <w:p w14:paraId="59842621" w14:textId="77777777" w:rsidR="00A32A92" w:rsidRPr="00DE69E4" w:rsidRDefault="00A32A92" w:rsidP="008B4EAF">
            <w:pPr>
              <w:ind w:left="-106"/>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DE69E4">
              <w:rPr>
                <w:rFonts w:cs="Calibri"/>
                <w:color w:val="000000"/>
              </w:rPr>
              <w:t xml:space="preserve"> 3 (0,1 mSv)</w:t>
            </w:r>
          </w:p>
        </w:tc>
      </w:tr>
      <w:tr w:rsidR="00A32A92" w:rsidRPr="00F65411" w14:paraId="4AD95C1A" w14:textId="77777777" w:rsidTr="008B4EAF">
        <w:trPr>
          <w:trHeight w:val="396"/>
        </w:trPr>
        <w:tc>
          <w:tcPr>
            <w:cnfStyle w:val="001000000000" w:firstRow="0" w:lastRow="0" w:firstColumn="1" w:lastColumn="0" w:oddVBand="0" w:evenVBand="0" w:oddHBand="0" w:evenHBand="0" w:firstRowFirstColumn="0" w:firstRowLastColumn="0" w:lastRowFirstColumn="0" w:lastRowLastColumn="0"/>
            <w:tcW w:w="2986" w:type="dxa"/>
            <w:noWrap/>
            <w:vAlign w:val="center"/>
            <w:hideMark/>
          </w:tcPr>
          <w:p w14:paraId="4A9A68E6" w14:textId="77777777" w:rsidR="00A32A92" w:rsidRPr="00E56E66" w:rsidRDefault="00A32A92" w:rsidP="008B4EAF">
            <w:pPr>
              <w:rPr>
                <w:rFonts w:cs="Calibri"/>
                <w:color w:val="000000"/>
                <w:sz w:val="20"/>
                <w:szCs w:val="20"/>
              </w:rPr>
            </w:pPr>
            <w:r w:rsidRPr="00E56E66">
              <w:rPr>
                <w:rFonts w:cs="Calibri"/>
                <w:color w:val="000000"/>
                <w:sz w:val="20"/>
                <w:szCs w:val="20"/>
              </w:rPr>
              <w:t xml:space="preserve">4. </w:t>
            </w:r>
            <w:r w:rsidRPr="00262AF4">
              <w:rPr>
                <w:rFonts w:cs="Calibri"/>
                <w:color w:val="000000"/>
                <w:sz w:val="20"/>
                <w:szCs w:val="20"/>
              </w:rPr>
              <w:t>Tt-toiminta</w:t>
            </w:r>
          </w:p>
        </w:tc>
        <w:tc>
          <w:tcPr>
            <w:tcW w:w="2210" w:type="dxa"/>
            <w:noWrap/>
            <w:vAlign w:val="center"/>
          </w:tcPr>
          <w:p w14:paraId="20B71CEB" w14:textId="77777777" w:rsidR="00A32A92" w:rsidRPr="00DE69E4" w:rsidRDefault="00A32A92" w:rsidP="008B4EAF">
            <w:pPr>
              <w:ind w:left="-106"/>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B01F26">
              <w:rPr>
                <w:rFonts w:cs="Calibri"/>
                <w:color w:val="000000"/>
              </w:rPr>
              <w:t>2</w:t>
            </w:r>
          </w:p>
        </w:tc>
        <w:tc>
          <w:tcPr>
            <w:tcW w:w="2268" w:type="dxa"/>
            <w:noWrap/>
            <w:vAlign w:val="center"/>
          </w:tcPr>
          <w:p w14:paraId="2BDD2349" w14:textId="77777777" w:rsidR="00A32A92" w:rsidRPr="00F96B8E" w:rsidRDefault="00A32A92" w:rsidP="008B4EAF">
            <w:pPr>
              <w:ind w:left="-106"/>
              <w:jc w:val="center"/>
              <w:cnfStyle w:val="000000000000" w:firstRow="0" w:lastRow="0" w:firstColumn="0" w:lastColumn="0" w:oddVBand="0" w:evenVBand="0" w:oddHBand="0" w:evenHBand="0" w:firstRowFirstColumn="0" w:firstRowLastColumn="0" w:lastRowFirstColumn="0" w:lastRowLastColumn="0"/>
              <w:rPr>
                <w:rFonts w:cs="Calibri"/>
              </w:rPr>
            </w:pPr>
            <w:r w:rsidRPr="00F96B8E">
              <w:rPr>
                <w:rFonts w:cs="Calibri"/>
              </w:rPr>
              <w:t xml:space="preserve">    3 (0,1 mSv)*</w:t>
            </w:r>
          </w:p>
        </w:tc>
        <w:tc>
          <w:tcPr>
            <w:tcW w:w="2207" w:type="dxa"/>
            <w:noWrap/>
            <w:vAlign w:val="center"/>
          </w:tcPr>
          <w:p w14:paraId="5D9F7F09" w14:textId="77777777" w:rsidR="00A32A92" w:rsidRPr="00DE69E4" w:rsidRDefault="00A32A92" w:rsidP="008B4EAF">
            <w:pPr>
              <w:ind w:left="-106"/>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DE69E4">
              <w:rPr>
                <w:rFonts w:cs="Calibri"/>
                <w:color w:val="000000"/>
              </w:rPr>
              <w:t xml:space="preserve"> 3 (0,1 mSv)</w:t>
            </w:r>
          </w:p>
        </w:tc>
      </w:tr>
      <w:tr w:rsidR="00A32A92" w:rsidRPr="00F65411" w14:paraId="06CA2572" w14:textId="77777777" w:rsidTr="008B4EAF">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986" w:type="dxa"/>
            <w:vAlign w:val="center"/>
            <w:hideMark/>
          </w:tcPr>
          <w:p w14:paraId="0FAF3780" w14:textId="77777777" w:rsidR="00A32A92" w:rsidRPr="00E56E66" w:rsidRDefault="00A32A92" w:rsidP="008B4EAF">
            <w:pPr>
              <w:rPr>
                <w:rFonts w:cs="Calibri"/>
                <w:color w:val="000000"/>
                <w:sz w:val="20"/>
                <w:szCs w:val="20"/>
              </w:rPr>
            </w:pPr>
            <w:r w:rsidRPr="00E56E66">
              <w:rPr>
                <w:rFonts w:cs="Calibri"/>
                <w:color w:val="000000"/>
                <w:sz w:val="20"/>
                <w:szCs w:val="20"/>
              </w:rPr>
              <w:t xml:space="preserve">5. </w:t>
            </w:r>
            <w:r w:rsidRPr="00262AF4">
              <w:rPr>
                <w:rFonts w:cs="Calibri"/>
                <w:color w:val="000000"/>
                <w:sz w:val="20"/>
                <w:szCs w:val="20"/>
              </w:rPr>
              <w:t>Läpivalaisu - ja angiografiatoiminta</w:t>
            </w:r>
          </w:p>
        </w:tc>
        <w:tc>
          <w:tcPr>
            <w:tcW w:w="2210" w:type="dxa"/>
            <w:noWrap/>
            <w:vAlign w:val="center"/>
            <w:hideMark/>
          </w:tcPr>
          <w:p w14:paraId="4FF0EC1C" w14:textId="77777777" w:rsidR="00A32A92" w:rsidRPr="00DE69E4" w:rsidRDefault="00A32A92" w:rsidP="008B4EAF">
            <w:pPr>
              <w:ind w:left="-106"/>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C11ACE2">
              <w:rPr>
                <w:rFonts w:cs="Calibri"/>
                <w:color w:val="06175E" w:themeColor="text1"/>
              </w:rPr>
              <w:t>1</w:t>
            </w:r>
          </w:p>
        </w:tc>
        <w:tc>
          <w:tcPr>
            <w:tcW w:w="2268" w:type="dxa"/>
            <w:vAlign w:val="center"/>
            <w:hideMark/>
          </w:tcPr>
          <w:p w14:paraId="689EDA5E" w14:textId="77777777" w:rsidR="00A32A92" w:rsidRPr="00F96B8E" w:rsidRDefault="00A32A92" w:rsidP="008B4EAF">
            <w:pPr>
              <w:jc w:val="center"/>
              <w:cnfStyle w:val="000000100000" w:firstRow="0" w:lastRow="0" w:firstColumn="0" w:lastColumn="0" w:oddVBand="0" w:evenVBand="0" w:oddHBand="1" w:evenHBand="0" w:firstRowFirstColumn="0" w:firstRowLastColumn="0" w:lastRowFirstColumn="0" w:lastRowLastColumn="0"/>
              <w:rPr>
                <w:rFonts w:cs="Calibri"/>
              </w:rPr>
            </w:pPr>
            <w:r w:rsidRPr="00F96B8E">
              <w:rPr>
                <w:rFonts w:cs="Calibri"/>
              </w:rPr>
              <w:t xml:space="preserve">    2 (0,2 mSv)*</w:t>
            </w:r>
          </w:p>
        </w:tc>
        <w:tc>
          <w:tcPr>
            <w:tcW w:w="2207" w:type="dxa"/>
            <w:noWrap/>
            <w:vAlign w:val="center"/>
            <w:hideMark/>
          </w:tcPr>
          <w:p w14:paraId="312C2D14" w14:textId="77777777" w:rsidR="00A32A92" w:rsidRPr="00DE69E4" w:rsidRDefault="00A32A92" w:rsidP="008B4EAF">
            <w:pPr>
              <w:spacing w:line="259" w:lineRule="auto"/>
              <w:jc w:val="center"/>
              <w:cnfStyle w:val="000000100000" w:firstRow="0" w:lastRow="0" w:firstColumn="0" w:lastColumn="0" w:oddVBand="0" w:evenVBand="0" w:oddHBand="1" w:evenHBand="0" w:firstRowFirstColumn="0" w:firstRowLastColumn="0" w:lastRowFirstColumn="0" w:lastRowLastColumn="0"/>
              <w:rPr>
                <w:rFonts w:cs="Calibri"/>
              </w:rPr>
            </w:pPr>
            <w:r w:rsidRPr="0C11ACE2">
              <w:rPr>
                <w:rFonts w:cs="Calibri"/>
                <w:color w:val="06175E" w:themeColor="text1"/>
              </w:rPr>
              <w:t>3 (0,1 mSv)</w:t>
            </w:r>
          </w:p>
        </w:tc>
      </w:tr>
    </w:tbl>
    <w:p w14:paraId="140B3D57" w14:textId="77777777" w:rsidR="00A32A92" w:rsidRDefault="00A32A92" w:rsidP="00A32A92"/>
    <w:p w14:paraId="0E3CEB8E" w14:textId="77777777" w:rsidR="00A32A92" w:rsidRDefault="00A32A92" w:rsidP="00A32A92">
      <w:pPr>
        <w:spacing w:after="160" w:line="259" w:lineRule="auto"/>
        <w:rPr>
          <w:rFonts w:eastAsiaTheme="minorHAnsi" w:cstheme="minorBidi"/>
          <w:lang w:eastAsia="en-US"/>
        </w:rPr>
      </w:pPr>
      <w:r w:rsidRPr="0C11ACE2">
        <w:rPr>
          <w:sz w:val="16"/>
          <w:szCs w:val="16"/>
        </w:rPr>
        <w:t xml:space="preserve">*Huomioitu suojien vaikutus (efektiivinen annos 1-3 % pinta-annoksesta [1,2]) </w:t>
      </w:r>
      <w:r>
        <w:br/>
      </w:r>
    </w:p>
    <w:p w14:paraId="52255BDC" w14:textId="77777777" w:rsidR="00A32A92" w:rsidRPr="00A32A92" w:rsidRDefault="00A32A92" w:rsidP="00A32A92">
      <w:pPr>
        <w:pStyle w:val="Otsikko10"/>
        <w:rPr>
          <w:rFonts w:ascii="Trebuchet MS" w:eastAsiaTheme="minorHAnsi" w:hAnsi="Trebuchet MS"/>
          <w:color w:val="auto"/>
          <w:lang w:eastAsia="en-US"/>
        </w:rPr>
      </w:pPr>
      <w:bookmarkStart w:id="17" w:name="_Toc187227203"/>
      <w:r w:rsidRPr="00A32A92">
        <w:rPr>
          <w:rFonts w:ascii="Trebuchet MS" w:eastAsiaTheme="minorHAnsi" w:hAnsi="Trebuchet MS"/>
          <w:color w:val="auto"/>
          <w:lang w:eastAsia="en-US"/>
        </w:rPr>
        <w:lastRenderedPageBreak/>
        <w:t>7. Tunnistetut säteilyturvallisuuspoikkeamat</w:t>
      </w:r>
      <w:bookmarkEnd w:id="17"/>
    </w:p>
    <w:p w14:paraId="7E41E661" w14:textId="53330BFB"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Yleisimmät säteilyturvallisuuspoikkeamat TT-tutkimuksissa aiheutuvat TT:n laitteistovioista n. </w:t>
      </w:r>
      <w:r w:rsidR="00187C95">
        <w:rPr>
          <w:rFonts w:eastAsiaTheme="minorHAnsi" w:cstheme="minorBidi"/>
          <w:lang w:eastAsia="en-US"/>
        </w:rPr>
        <w:t>20</w:t>
      </w:r>
      <w:r w:rsidR="00F96B8E">
        <w:rPr>
          <w:rFonts w:eastAsiaTheme="minorHAnsi" w:cstheme="minorBidi"/>
          <w:lang w:eastAsia="en-US"/>
        </w:rPr>
        <w:t xml:space="preserve"> </w:t>
      </w:r>
      <w:r w:rsidRPr="00760DC7">
        <w:rPr>
          <w:rFonts w:eastAsiaTheme="minorHAnsi" w:cstheme="minorBidi"/>
          <w:lang w:eastAsia="en-US"/>
        </w:rPr>
        <w:t xml:space="preserve">%, inhimillisistä virheistä </w:t>
      </w:r>
      <w:r w:rsidR="00187C95">
        <w:rPr>
          <w:rFonts w:eastAsiaTheme="minorHAnsi" w:cstheme="minorBidi"/>
          <w:lang w:eastAsia="en-US"/>
        </w:rPr>
        <w:t>3</w:t>
      </w:r>
      <w:r w:rsidRPr="00760DC7">
        <w:rPr>
          <w:rFonts w:eastAsiaTheme="minorHAnsi" w:cstheme="minorBidi"/>
          <w:lang w:eastAsia="en-US"/>
        </w:rPr>
        <w:t>3</w:t>
      </w:r>
      <w:r w:rsidR="00F96B8E">
        <w:rPr>
          <w:rFonts w:eastAsiaTheme="minorHAnsi" w:cstheme="minorBidi"/>
          <w:lang w:eastAsia="en-US"/>
        </w:rPr>
        <w:t xml:space="preserve"> </w:t>
      </w:r>
      <w:r w:rsidRPr="00760DC7">
        <w:rPr>
          <w:rFonts w:eastAsiaTheme="minorHAnsi" w:cstheme="minorBidi"/>
          <w:lang w:eastAsia="en-US"/>
        </w:rPr>
        <w:t xml:space="preserve">% ja varjoaineruiskutukseen liittyvistä ongelmista </w:t>
      </w:r>
      <w:r w:rsidR="00187C95">
        <w:rPr>
          <w:rFonts w:eastAsiaTheme="minorHAnsi" w:cstheme="minorBidi"/>
          <w:lang w:eastAsia="en-US"/>
        </w:rPr>
        <w:t>30</w:t>
      </w:r>
      <w:r w:rsidR="00F96B8E">
        <w:rPr>
          <w:rFonts w:eastAsiaTheme="minorHAnsi" w:cstheme="minorBidi"/>
          <w:lang w:eastAsia="en-US"/>
        </w:rPr>
        <w:t xml:space="preserve"> </w:t>
      </w:r>
      <w:r w:rsidRPr="00760DC7">
        <w:rPr>
          <w:rFonts w:eastAsiaTheme="minorHAnsi" w:cstheme="minorBidi"/>
          <w:lang w:eastAsia="en-US"/>
        </w:rPr>
        <w:t xml:space="preserve">%. </w:t>
      </w:r>
    </w:p>
    <w:p w14:paraId="413000D0"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Yleisimmät säteilyturvallisuuspoikkeamat natiiviröntgentutkimuksissa aiheutuvat laitteistovioista 52 %, inhimillisistä virheistä 44 % ja muista syistä 4 %, mistä 2 % on lähetteeseen liittyviä poikkeamia. Laiteongelmat liittyvät usein </w:t>
      </w:r>
      <w:r w:rsidRPr="00031706">
        <w:rPr>
          <w:rFonts w:eastAsiaTheme="minorHAnsi" w:cstheme="minorBidi"/>
          <w:lang w:eastAsia="en-US"/>
        </w:rPr>
        <w:t>natiivikuvausten yhdistämisongelmiin, esim. alaraajojen ja selkärangan pitk</w:t>
      </w:r>
      <w:r>
        <w:rPr>
          <w:rFonts w:eastAsiaTheme="minorHAnsi" w:cstheme="minorBidi"/>
          <w:lang w:eastAsia="en-US"/>
        </w:rPr>
        <w:t>issä kuvissa</w:t>
      </w:r>
      <w:r w:rsidRPr="00760DC7">
        <w:rPr>
          <w:rFonts w:eastAsiaTheme="minorHAnsi" w:cstheme="minorBidi"/>
          <w:lang w:eastAsia="en-US"/>
        </w:rPr>
        <w:t xml:space="preserve">, inhimillisistä virheistä yleisin on väärän puolen kuvaus. </w:t>
      </w:r>
    </w:p>
    <w:p w14:paraId="699C02DA" w14:textId="77777777" w:rsidR="00A32A92" w:rsidRPr="00F9090C"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Potentiaalisesti merkittäviä säteilynkäyttöön liittyviä haittoja toimenpideradiologiassa syntyy lähinnä toimenpiteissä, joissa potilaan tila ja toimenpiteen onnistunut suorittaminen vaativat tarkkaa diagnostiikkaa sekä runsaasti potilaan äärellä tapahtuvaa hoitotyötä. Tästä syystä potentiaalista altistusta onkin vaikea erottaa normaalitoiminnasta, mutta esimerkiksi laiteviat ja inhimilliset virheet </w:t>
      </w:r>
      <w:r w:rsidRPr="00F9090C">
        <w:rPr>
          <w:rFonts w:eastAsiaTheme="minorHAnsi" w:cstheme="minorBidi"/>
          <w:lang w:eastAsia="en-US"/>
        </w:rPr>
        <w:t xml:space="preserve">aiheuttavat ylimääräistä altistusta. Inhimillisiä virheitä ovat esimerkiksi laitteen käyttöön liittyvät väärät valinnat ja lpv-polkimen painaminen vahingossa. Isotooppeja hyödyntävien toimenpiteiden (SIRT) säteilyturvallisuuspoikkeamat ja toimet niihin varautumiseen sekä ennaltaehkäisemiseen on esitetty </w:t>
      </w:r>
      <w:r>
        <w:rPr>
          <w:rFonts w:eastAsiaTheme="minorHAnsi" w:cstheme="minorBidi"/>
          <w:lang w:eastAsia="en-US"/>
        </w:rPr>
        <w:t>Pohteen</w:t>
      </w:r>
      <w:r w:rsidRPr="00F9090C">
        <w:rPr>
          <w:rFonts w:eastAsiaTheme="minorHAnsi" w:cstheme="minorBidi"/>
          <w:lang w:eastAsia="en-US"/>
        </w:rPr>
        <w:t xml:space="preserve"> </w:t>
      </w:r>
      <w:r>
        <w:rPr>
          <w:rFonts w:eastAsiaTheme="minorHAnsi" w:cstheme="minorBidi"/>
          <w:lang w:eastAsia="en-US"/>
        </w:rPr>
        <w:t>i</w:t>
      </w:r>
      <w:r w:rsidRPr="00F9090C">
        <w:rPr>
          <w:rFonts w:eastAsiaTheme="minorHAnsi" w:cstheme="minorBidi"/>
          <w:lang w:eastAsia="en-US"/>
        </w:rPr>
        <w:t>sotooppitoiminnan turvallisuusarviossa.</w:t>
      </w:r>
    </w:p>
    <w:p w14:paraId="2126567D" w14:textId="77777777" w:rsidR="00A32A92" w:rsidRPr="00760DC7" w:rsidRDefault="00A32A92" w:rsidP="00A32A92">
      <w:pPr>
        <w:spacing w:after="160" w:line="259" w:lineRule="auto"/>
        <w:jc w:val="both"/>
        <w:rPr>
          <w:rFonts w:eastAsiaTheme="minorHAnsi" w:cstheme="minorBidi"/>
          <w:lang w:eastAsia="en-US"/>
        </w:rPr>
      </w:pPr>
    </w:p>
    <w:p w14:paraId="56D0C576" w14:textId="77777777" w:rsidR="00A32A92" w:rsidRPr="00A32A92" w:rsidRDefault="00A32A92" w:rsidP="00A32A92">
      <w:pPr>
        <w:pStyle w:val="Otsikko10"/>
        <w:rPr>
          <w:rFonts w:ascii="Trebuchet MS" w:eastAsiaTheme="minorHAnsi" w:hAnsi="Trebuchet MS"/>
          <w:color w:val="auto"/>
          <w:lang w:eastAsia="en-US"/>
        </w:rPr>
      </w:pPr>
      <w:bookmarkStart w:id="18" w:name="_Toc187227204"/>
      <w:r w:rsidRPr="00A32A92">
        <w:rPr>
          <w:rFonts w:ascii="Trebuchet MS" w:eastAsiaTheme="minorHAnsi" w:hAnsi="Trebuchet MS"/>
          <w:color w:val="auto"/>
          <w:lang w:eastAsia="en-US"/>
        </w:rPr>
        <w:t>8. Toimet tunnistettujen säteilyturvallisuuspoikkeamien ennalta-ehkäisemiseksi sekä niihin varautumiseksi</w:t>
      </w:r>
      <w:bookmarkEnd w:id="18"/>
    </w:p>
    <w:p w14:paraId="223427B8"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Säteilyturvallisuuspoikkeamien ehkäisemiseksi on tärkeää toimia olemassa olevan säteilyn käyttöön liittyvän ohjeistuksen mukaisesti. Organisaatiossamme ylläpidetään henkilöstön osaamista ja tietämystä säteilytyöstä ja –suojelusta järjestämällä laite-, modaliteetti- ja yleistä säteilykoulutusta. Lisäksi tarpeen mukaan räätälöidään sopivia koulutuspaketteja eri ammattiryhmille. </w:t>
      </w:r>
    </w:p>
    <w:p w14:paraId="45E48E3E"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Tutkimusprotokollia arvioidaan säännöllisesti </w:t>
      </w:r>
      <w:r>
        <w:rPr>
          <w:rFonts w:eastAsiaTheme="minorHAnsi" w:cstheme="minorBidi"/>
          <w:lang w:eastAsia="en-US"/>
        </w:rPr>
        <w:t>sekä</w:t>
      </w:r>
      <w:r w:rsidRPr="00760DC7">
        <w:rPr>
          <w:rFonts w:eastAsiaTheme="minorHAnsi" w:cstheme="minorBidi"/>
          <w:lang w:eastAsia="en-US"/>
        </w:rPr>
        <w:t xml:space="preserve"> päivitetään ja parannetaan niitä, huolehtien optimaalisesta säteilynkäytöstä kuvanlaatu huomioiden. Selkeästä säteilysuojeluun liittyvästä työnjaosta huolehditaan ja noudatetaan sitä. Lisäksi tehdään lain vaatimuksen ja suositusten mukaisesti itsearviointeja, sisäisiä ja ulkoisia kliinisiä auditointeja ja toteutetaan niistä nousseita kehittämissuosituksia. </w:t>
      </w:r>
    </w:p>
    <w:p w14:paraId="6C31B68A" w14:textId="77777777" w:rsidR="00A32A92" w:rsidRPr="00760DC7"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Toteutuneet säteilytuvallisuuspoikkeamat analysoidaan, käydään läpi henkilökunnan kanssa ja toteutetaan tarvittaessa muutokset toimintaan tai teknisiin ratkaisuihin (esim. monitorit kuvaushuoneisiin, joista voi tarkistaa potilaan henkilötunnuksen</w:t>
      </w:r>
      <w:r>
        <w:rPr>
          <w:rFonts w:eastAsiaTheme="minorHAnsi" w:cstheme="minorBidi"/>
          <w:lang w:eastAsia="en-US"/>
        </w:rPr>
        <w:t>, tsekkauslistat</w:t>
      </w:r>
      <w:r w:rsidRPr="00760DC7">
        <w:rPr>
          <w:rFonts w:eastAsiaTheme="minorHAnsi" w:cstheme="minorBidi"/>
          <w:lang w:eastAsia="en-US"/>
        </w:rPr>
        <w:t xml:space="preserve">). Havaittuihin säteilyturvallisuuspoikkeamiin liittyviä koulutuksia järjestetään säteilynkäyttöön osallistuvalle henkilökunnalle. Säteilyturvallisuuspoikkeamissa havaittuja teknisiä puutteita (esim. ovien lukitseminen kuvauksen aikana) käsitellään ja toteutetaan tekniikan sallimissa rajoissa. </w:t>
      </w:r>
    </w:p>
    <w:p w14:paraId="4A34BA0D" w14:textId="62EC3CC9" w:rsidR="00A32A92" w:rsidRPr="00E73BA6" w:rsidRDefault="00A32A92" w:rsidP="00A32A92">
      <w:pPr>
        <w:spacing w:after="160" w:line="259" w:lineRule="auto"/>
        <w:jc w:val="both"/>
        <w:rPr>
          <w:rFonts w:eastAsiaTheme="minorHAnsi" w:cstheme="minorBidi"/>
          <w:lang w:eastAsia="en-US"/>
        </w:rPr>
      </w:pPr>
      <w:r w:rsidRPr="00760DC7">
        <w:rPr>
          <w:rFonts w:eastAsiaTheme="minorHAnsi" w:cstheme="minorBidi"/>
          <w:lang w:eastAsia="en-US"/>
        </w:rPr>
        <w:t xml:space="preserve">Yleistä säteilyturvallisuustietoutta lisätään organisaatiossa järjestämällä säteilysuojelukoulutuksia ja tarpeen vaatiessa sopivia koulutuspaketteja </w:t>
      </w:r>
      <w:r w:rsidR="00F96B8E" w:rsidRPr="00760DC7">
        <w:rPr>
          <w:rFonts w:eastAsiaTheme="minorHAnsi" w:cstheme="minorBidi"/>
          <w:lang w:eastAsia="en-US"/>
        </w:rPr>
        <w:t>muillekin</w:t>
      </w:r>
      <w:r w:rsidRPr="00760DC7">
        <w:rPr>
          <w:rFonts w:eastAsiaTheme="minorHAnsi" w:cstheme="minorBidi"/>
          <w:lang w:eastAsia="en-US"/>
        </w:rPr>
        <w:t>, säteilynkäyttöön osallistumattomille, ammattiryhmille.</w:t>
      </w:r>
    </w:p>
    <w:p w14:paraId="79E6CBD7" w14:textId="3C6A291E" w:rsidR="00AA2438" w:rsidRPr="00500ED8" w:rsidRDefault="00AA2438" w:rsidP="00500ED8"/>
    <w:sectPr w:rsidR="00AA2438" w:rsidRPr="00500ED8" w:rsidSect="007E15E5">
      <w:headerReference w:type="default" r:id="rId21"/>
      <w:footerReference w:type="default" r:id="rId22"/>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omoo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7E857455" w:rsidR="009D2375" w:rsidRPr="00BD1530" w:rsidRDefault="009D2375" w:rsidP="009D2375">
    <w:pPr>
      <w:pStyle w:val="Eivli"/>
      <w:rPr>
        <w:b/>
        <w:bCs/>
      </w:rPr>
    </w:pPr>
    <w:r>
      <w:rPr>
        <w:szCs w:val="24"/>
      </w:rPr>
      <w:tab/>
    </w:r>
    <w:r>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A32A92">
          <w:rPr>
            <w:sz w:val="16"/>
            <w:szCs w:val="16"/>
          </w:rPr>
          <w:t>Pohjois-Pohjanmaan kuvantamisen röntgentoiminnan säteilyn käytön turvallisuusarvio</w:t>
        </w:r>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1C000EDC" w:rsidR="00BD1530" w:rsidRPr="004E7FC1" w:rsidRDefault="00A32A92" w:rsidP="00BD1530">
          <w:pPr>
            <w:pStyle w:val="Eivli"/>
            <w:rPr>
              <w:b/>
              <w:bCs/>
              <w:sz w:val="20"/>
              <w:szCs w:val="20"/>
            </w:rPr>
          </w:pPr>
          <w:r>
            <w:rPr>
              <w:b/>
              <w:bCs/>
              <w:sz w:val="20"/>
              <w:szCs w:val="20"/>
            </w:rPr>
            <w:t>Turvallisuusarvio</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70AE0C62" w:rsidR="000631E7" w:rsidRPr="004E7FC1" w:rsidRDefault="00500ED8" w:rsidP="004B08C1">
              <w:pPr>
                <w:pStyle w:val="Eivli"/>
                <w:rPr>
                  <w:sz w:val="20"/>
                  <w:szCs w:val="20"/>
                </w:rPr>
              </w:pPr>
              <w:r>
                <w:rPr>
                  <w:sz w:val="20"/>
                  <w:szCs w:val="20"/>
                </w:rPr>
                <w:t>Kuvantaminen</w:t>
              </w:r>
            </w:p>
          </w:sdtContent>
        </w:sdt>
      </w:tc>
      <w:sdt>
        <w:sdtPr>
          <w:rPr>
            <w:sz w:val="20"/>
            <w:szCs w:val="20"/>
          </w:rPr>
          <w:tag w:val="Valitse päivämäärä"/>
          <w:id w:val="1317227750"/>
          <w:date w:fullDate="2025-01-08T00:00:00Z">
            <w:dateFormat w:val="d.M.yyyy"/>
            <w:lid w:val="fi-FI"/>
            <w:storeMappedDataAs w:val="dateTime"/>
            <w:calendar w:val="gregorian"/>
          </w:date>
        </w:sdtPr>
        <w:sdtEndPr/>
        <w:sdtContent>
          <w:tc>
            <w:tcPr>
              <w:tcW w:w="3402" w:type="dxa"/>
              <w:vAlign w:val="center"/>
            </w:tcPr>
            <w:p w14:paraId="54748B48" w14:textId="187CE253" w:rsidR="000631E7" w:rsidRPr="004E7FC1" w:rsidRDefault="00A32A92" w:rsidP="004B08C1">
              <w:pPr>
                <w:pStyle w:val="Eivli"/>
                <w:rPr>
                  <w:sz w:val="20"/>
                  <w:szCs w:val="20"/>
                </w:rPr>
              </w:pPr>
              <w:r>
                <w:rPr>
                  <w:sz w:val="20"/>
                  <w:szCs w:val="20"/>
                </w:rPr>
                <w:t>8.1.2025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443093"/>
    <w:multiLevelType w:val="hybridMultilevel"/>
    <w:tmpl w:val="C3FE6F5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39C713E"/>
    <w:multiLevelType w:val="multilevel"/>
    <w:tmpl w:val="52261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37731"/>
    <w:multiLevelType w:val="multilevel"/>
    <w:tmpl w:val="52261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E2778A"/>
    <w:multiLevelType w:val="hybridMultilevel"/>
    <w:tmpl w:val="472485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A233545"/>
    <w:multiLevelType w:val="hybridMultilevel"/>
    <w:tmpl w:val="9336E1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1B4ECE"/>
    <w:multiLevelType w:val="hybridMultilevel"/>
    <w:tmpl w:val="53461AA0"/>
    <w:lvl w:ilvl="0" w:tplc="040B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6"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230437"/>
    <w:multiLevelType w:val="hybridMultilevel"/>
    <w:tmpl w:val="B07E6C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C9B4E56"/>
    <w:multiLevelType w:val="hybridMultilevel"/>
    <w:tmpl w:val="1ED8BB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2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426D04"/>
    <w:multiLevelType w:val="hybridMultilevel"/>
    <w:tmpl w:val="11C63918"/>
    <w:lvl w:ilvl="0" w:tplc="040B0001">
      <w:start w:val="1"/>
      <w:numFmt w:val="bullet"/>
      <w:lvlText w:val=""/>
      <w:lvlJc w:val="left"/>
      <w:pPr>
        <w:ind w:left="776" w:hanging="360"/>
      </w:pPr>
      <w:rPr>
        <w:rFonts w:ascii="Symbol" w:hAnsi="Symbol" w:hint="default"/>
      </w:rPr>
    </w:lvl>
    <w:lvl w:ilvl="1" w:tplc="040B0003" w:tentative="1">
      <w:start w:val="1"/>
      <w:numFmt w:val="bullet"/>
      <w:lvlText w:val="o"/>
      <w:lvlJc w:val="left"/>
      <w:pPr>
        <w:ind w:left="1496" w:hanging="360"/>
      </w:pPr>
      <w:rPr>
        <w:rFonts w:ascii="Courier New" w:hAnsi="Courier New" w:cs="Courier New" w:hint="default"/>
      </w:rPr>
    </w:lvl>
    <w:lvl w:ilvl="2" w:tplc="040B0005" w:tentative="1">
      <w:start w:val="1"/>
      <w:numFmt w:val="bullet"/>
      <w:lvlText w:val=""/>
      <w:lvlJc w:val="left"/>
      <w:pPr>
        <w:ind w:left="2216" w:hanging="360"/>
      </w:pPr>
      <w:rPr>
        <w:rFonts w:ascii="Wingdings" w:hAnsi="Wingdings" w:hint="default"/>
      </w:rPr>
    </w:lvl>
    <w:lvl w:ilvl="3" w:tplc="040B0001" w:tentative="1">
      <w:start w:val="1"/>
      <w:numFmt w:val="bullet"/>
      <w:lvlText w:val=""/>
      <w:lvlJc w:val="left"/>
      <w:pPr>
        <w:ind w:left="2936" w:hanging="360"/>
      </w:pPr>
      <w:rPr>
        <w:rFonts w:ascii="Symbol" w:hAnsi="Symbol" w:hint="default"/>
      </w:rPr>
    </w:lvl>
    <w:lvl w:ilvl="4" w:tplc="040B0003" w:tentative="1">
      <w:start w:val="1"/>
      <w:numFmt w:val="bullet"/>
      <w:lvlText w:val="o"/>
      <w:lvlJc w:val="left"/>
      <w:pPr>
        <w:ind w:left="3656" w:hanging="360"/>
      </w:pPr>
      <w:rPr>
        <w:rFonts w:ascii="Courier New" w:hAnsi="Courier New" w:cs="Courier New" w:hint="default"/>
      </w:rPr>
    </w:lvl>
    <w:lvl w:ilvl="5" w:tplc="040B0005" w:tentative="1">
      <w:start w:val="1"/>
      <w:numFmt w:val="bullet"/>
      <w:lvlText w:val=""/>
      <w:lvlJc w:val="left"/>
      <w:pPr>
        <w:ind w:left="4376" w:hanging="360"/>
      </w:pPr>
      <w:rPr>
        <w:rFonts w:ascii="Wingdings" w:hAnsi="Wingdings" w:hint="default"/>
      </w:rPr>
    </w:lvl>
    <w:lvl w:ilvl="6" w:tplc="040B0001" w:tentative="1">
      <w:start w:val="1"/>
      <w:numFmt w:val="bullet"/>
      <w:lvlText w:val=""/>
      <w:lvlJc w:val="left"/>
      <w:pPr>
        <w:ind w:left="5096" w:hanging="360"/>
      </w:pPr>
      <w:rPr>
        <w:rFonts w:ascii="Symbol" w:hAnsi="Symbol" w:hint="default"/>
      </w:rPr>
    </w:lvl>
    <w:lvl w:ilvl="7" w:tplc="040B0003" w:tentative="1">
      <w:start w:val="1"/>
      <w:numFmt w:val="bullet"/>
      <w:lvlText w:val="o"/>
      <w:lvlJc w:val="left"/>
      <w:pPr>
        <w:ind w:left="5816" w:hanging="360"/>
      </w:pPr>
      <w:rPr>
        <w:rFonts w:ascii="Courier New" w:hAnsi="Courier New" w:cs="Courier New" w:hint="default"/>
      </w:rPr>
    </w:lvl>
    <w:lvl w:ilvl="8" w:tplc="040B0005" w:tentative="1">
      <w:start w:val="1"/>
      <w:numFmt w:val="bullet"/>
      <w:lvlText w:val=""/>
      <w:lvlJc w:val="left"/>
      <w:pPr>
        <w:ind w:left="6536" w:hanging="360"/>
      </w:pPr>
      <w:rPr>
        <w:rFonts w:ascii="Wingdings" w:hAnsi="Wingdings" w:hint="default"/>
      </w:rPr>
    </w:lvl>
  </w:abstractNum>
  <w:abstractNum w:abstractNumId="23" w15:restartNumberingAfterBreak="0">
    <w:nsid w:val="465F5B89"/>
    <w:multiLevelType w:val="hybridMultilevel"/>
    <w:tmpl w:val="BA666C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E56CEE"/>
    <w:multiLevelType w:val="hybridMultilevel"/>
    <w:tmpl w:val="E5626A60"/>
    <w:lvl w:ilvl="0" w:tplc="509286DA">
      <w:start w:val="1"/>
      <w:numFmt w:val="decimal"/>
      <w:lvlText w:val="%1."/>
      <w:lvlJc w:val="left"/>
      <w:pPr>
        <w:ind w:left="644" w:hanging="360"/>
      </w:pPr>
      <w:rPr>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7EF386C"/>
    <w:multiLevelType w:val="hybridMultilevel"/>
    <w:tmpl w:val="74B6C6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C65E40"/>
    <w:multiLevelType w:val="hybridMultilevel"/>
    <w:tmpl w:val="66CE596E"/>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78A6F32"/>
    <w:multiLevelType w:val="hybridMultilevel"/>
    <w:tmpl w:val="42F66B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AB162A5"/>
    <w:multiLevelType w:val="hybridMultilevel"/>
    <w:tmpl w:val="2A7AD0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33" w15:restartNumberingAfterBreak="0">
    <w:nsid w:val="78EC4239"/>
    <w:multiLevelType w:val="hybridMultilevel"/>
    <w:tmpl w:val="699CF2F6"/>
    <w:lvl w:ilvl="0" w:tplc="040B0005">
      <w:start w:val="1"/>
      <w:numFmt w:val="bullet"/>
      <w:lvlText w:val=""/>
      <w:lvlJc w:val="left"/>
      <w:pPr>
        <w:ind w:left="1005" w:hanging="360"/>
      </w:pPr>
      <w:rPr>
        <w:rFonts w:ascii="Wingdings" w:hAnsi="Wingdings" w:hint="default"/>
      </w:rPr>
    </w:lvl>
    <w:lvl w:ilvl="1" w:tplc="040B0003" w:tentative="1">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abstractNum w:abstractNumId="34" w15:restartNumberingAfterBreak="0">
    <w:nsid w:val="7A4869CB"/>
    <w:multiLevelType w:val="multilevel"/>
    <w:tmpl w:val="52261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E67006"/>
    <w:multiLevelType w:val="hybridMultilevel"/>
    <w:tmpl w:val="CFBE4D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3"/>
  </w:num>
  <w:num w:numId="2" w16cid:durableId="28115240">
    <w:abstractNumId w:val="20"/>
  </w:num>
  <w:num w:numId="3" w16cid:durableId="1214081591">
    <w:abstractNumId w:val="2"/>
  </w:num>
  <w:num w:numId="4" w16cid:durableId="334958258">
    <w:abstractNumId w:val="32"/>
  </w:num>
  <w:num w:numId="5" w16cid:durableId="1641032995">
    <w:abstractNumId w:val="1"/>
  </w:num>
  <w:num w:numId="6" w16cid:durableId="2063944667">
    <w:abstractNumId w:val="15"/>
  </w:num>
  <w:num w:numId="7" w16cid:durableId="1862237714">
    <w:abstractNumId w:val="24"/>
  </w:num>
  <w:num w:numId="8" w16cid:durableId="1754813634">
    <w:abstractNumId w:val="24"/>
  </w:num>
  <w:num w:numId="9" w16cid:durableId="1606114846">
    <w:abstractNumId w:val="24"/>
  </w:num>
  <w:num w:numId="10" w16cid:durableId="1477645058">
    <w:abstractNumId w:val="5"/>
  </w:num>
  <w:num w:numId="11" w16cid:durableId="841121598">
    <w:abstractNumId w:val="28"/>
  </w:num>
  <w:num w:numId="12" w16cid:durableId="225991095">
    <w:abstractNumId w:val="16"/>
  </w:num>
  <w:num w:numId="13" w16cid:durableId="70978191">
    <w:abstractNumId w:val="11"/>
  </w:num>
  <w:num w:numId="14" w16cid:durableId="240528770">
    <w:abstractNumId w:val="21"/>
  </w:num>
  <w:num w:numId="15" w16cid:durableId="452208856">
    <w:abstractNumId w:val="25"/>
  </w:num>
  <w:num w:numId="16" w16cid:durableId="1796949018">
    <w:abstractNumId w:val="12"/>
  </w:num>
  <w:num w:numId="17" w16cid:durableId="627246728">
    <w:abstractNumId w:val="9"/>
  </w:num>
  <w:num w:numId="18" w16cid:durableId="1203321292">
    <w:abstractNumId w:val="18"/>
  </w:num>
  <w:num w:numId="19" w16cid:durableId="1011643616">
    <w:abstractNumId w:val="7"/>
  </w:num>
  <w:num w:numId="20" w16cid:durableId="1029909760">
    <w:abstractNumId w:val="10"/>
  </w:num>
  <w:num w:numId="21" w16cid:durableId="1777169694">
    <w:abstractNumId w:val="34"/>
  </w:num>
  <w:num w:numId="22" w16cid:durableId="1710106382">
    <w:abstractNumId w:val="30"/>
  </w:num>
  <w:num w:numId="23" w16cid:durableId="393432738">
    <w:abstractNumId w:val="35"/>
  </w:num>
  <w:num w:numId="24" w16cid:durableId="931938344">
    <w:abstractNumId w:val="27"/>
  </w:num>
  <w:num w:numId="25" w16cid:durableId="1862552947">
    <w:abstractNumId w:val="22"/>
  </w:num>
  <w:num w:numId="26" w16cid:durableId="577057329">
    <w:abstractNumId w:val="23"/>
  </w:num>
  <w:num w:numId="27" w16cid:durableId="1173179222">
    <w:abstractNumId w:val="17"/>
  </w:num>
  <w:num w:numId="28" w16cid:durableId="101192354">
    <w:abstractNumId w:val="8"/>
  </w:num>
  <w:num w:numId="29" w16cid:durableId="1223055147">
    <w:abstractNumId w:val="29"/>
  </w:num>
  <w:num w:numId="30" w16cid:durableId="114176943">
    <w:abstractNumId w:val="33"/>
  </w:num>
  <w:num w:numId="31" w16cid:durableId="292684988">
    <w:abstractNumId w:val="6"/>
  </w:num>
  <w:num w:numId="32" w16cid:durableId="151139288">
    <w:abstractNumId w:val="13"/>
  </w:num>
  <w:num w:numId="33" w16cid:durableId="914783158">
    <w:abstractNumId w:val="19"/>
  </w:num>
  <w:num w:numId="34" w16cid:durableId="477502277">
    <w:abstractNumId w:val="31"/>
  </w:num>
  <w:num w:numId="35" w16cid:durableId="965619219">
    <w:abstractNumId w:val="0"/>
  </w:num>
  <w:num w:numId="36" w16cid:durableId="1228420607">
    <w:abstractNumId w:val="4"/>
  </w:num>
  <w:num w:numId="37" w16cid:durableId="146477802">
    <w:abstractNumId w:val="14"/>
  </w:num>
  <w:num w:numId="38" w16cid:durableId="12627626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57DCA"/>
    <w:rsid w:val="0016272C"/>
    <w:rsid w:val="00187C95"/>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12463"/>
    <w:rsid w:val="00421679"/>
    <w:rsid w:val="00443B00"/>
    <w:rsid w:val="00465B19"/>
    <w:rsid w:val="0046680D"/>
    <w:rsid w:val="004A1078"/>
    <w:rsid w:val="004A1303"/>
    <w:rsid w:val="004A1B4C"/>
    <w:rsid w:val="004B08C1"/>
    <w:rsid w:val="004C17CF"/>
    <w:rsid w:val="004E7FC1"/>
    <w:rsid w:val="004F243D"/>
    <w:rsid w:val="004F3163"/>
    <w:rsid w:val="00500ED8"/>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68A7"/>
    <w:rsid w:val="00673E18"/>
    <w:rsid w:val="00684254"/>
    <w:rsid w:val="006A3BD6"/>
    <w:rsid w:val="006A7F7F"/>
    <w:rsid w:val="006F306A"/>
    <w:rsid w:val="006F7151"/>
    <w:rsid w:val="00707AE3"/>
    <w:rsid w:val="0072107C"/>
    <w:rsid w:val="00754D88"/>
    <w:rsid w:val="00756C5D"/>
    <w:rsid w:val="007571D1"/>
    <w:rsid w:val="00774264"/>
    <w:rsid w:val="00776D24"/>
    <w:rsid w:val="00787340"/>
    <w:rsid w:val="007A17E1"/>
    <w:rsid w:val="007B5316"/>
    <w:rsid w:val="007C2CF6"/>
    <w:rsid w:val="007C4E49"/>
    <w:rsid w:val="007C7DDB"/>
    <w:rsid w:val="007D2674"/>
    <w:rsid w:val="007D660E"/>
    <w:rsid w:val="007E15E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D2375"/>
    <w:rsid w:val="009F638F"/>
    <w:rsid w:val="00A21728"/>
    <w:rsid w:val="00A232F5"/>
    <w:rsid w:val="00A32A92"/>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425F6"/>
    <w:rsid w:val="00C66C5F"/>
    <w:rsid w:val="00C77201"/>
    <w:rsid w:val="00C8177B"/>
    <w:rsid w:val="00C91074"/>
    <w:rsid w:val="00CC64C2"/>
    <w:rsid w:val="00CE55E8"/>
    <w:rsid w:val="00D14FAA"/>
    <w:rsid w:val="00D21300"/>
    <w:rsid w:val="00D42DB3"/>
    <w:rsid w:val="00D45D47"/>
    <w:rsid w:val="00D725DD"/>
    <w:rsid w:val="00D9023B"/>
    <w:rsid w:val="00DA4D60"/>
    <w:rsid w:val="00DB41B2"/>
    <w:rsid w:val="00DE2F16"/>
    <w:rsid w:val="00DE4771"/>
    <w:rsid w:val="00DF19CC"/>
    <w:rsid w:val="00E04FF8"/>
    <w:rsid w:val="00E26A08"/>
    <w:rsid w:val="00E53142"/>
    <w:rsid w:val="00E623B0"/>
    <w:rsid w:val="00E73F23"/>
    <w:rsid w:val="00E81B26"/>
    <w:rsid w:val="00E85458"/>
    <w:rsid w:val="00E92FE5"/>
    <w:rsid w:val="00EA0E06"/>
    <w:rsid w:val="00EA769F"/>
    <w:rsid w:val="00EC0BD0"/>
    <w:rsid w:val="00EC3C67"/>
    <w:rsid w:val="00EC40B7"/>
    <w:rsid w:val="00EC5CC9"/>
    <w:rsid w:val="00ED34C2"/>
    <w:rsid w:val="00EE24FA"/>
    <w:rsid w:val="00EF3EE1"/>
    <w:rsid w:val="00EF4631"/>
    <w:rsid w:val="00F021DB"/>
    <w:rsid w:val="00F060D1"/>
    <w:rsid w:val="00F53A45"/>
    <w:rsid w:val="00F828F0"/>
    <w:rsid w:val="00F9094E"/>
    <w:rsid w:val="00F96B8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character" w:styleId="Voimakas">
    <w:name w:val="Strong"/>
    <w:basedOn w:val="Kappaleenoletusfontti"/>
    <w:uiPriority w:val="22"/>
    <w:qFormat/>
    <w:rsid w:val="00EA769F"/>
    <w:rPr>
      <w:b/>
      <w:bCs/>
    </w:rPr>
  </w:style>
  <w:style w:type="table" w:customStyle="1" w:styleId="Yksinkertainentaulukko311">
    <w:name w:val="Yksinkertainen taulukko 311"/>
    <w:basedOn w:val="Normaalitaulukko"/>
    <w:uiPriority w:val="43"/>
    <w:rsid w:val="00A32A92"/>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Yksinkertainentaulukko312">
    <w:name w:val="Yksinkertainen taulukko 312"/>
    <w:basedOn w:val="Normaalitaulukko"/>
    <w:uiPriority w:val="43"/>
    <w:rsid w:val="00A32A92"/>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Yksinkertainentaulukko313">
    <w:name w:val="Yksinkertainen taulukko 313"/>
    <w:basedOn w:val="Normaalitaulukko"/>
    <w:uiPriority w:val="43"/>
    <w:rsid w:val="00A32A92"/>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9219">
      <w:bodyDiv w:val="1"/>
      <w:marLeft w:val="0"/>
      <w:marRight w:val="0"/>
      <w:marTop w:val="0"/>
      <w:marBottom w:val="0"/>
      <w:divBdr>
        <w:top w:val="none" w:sz="0" w:space="0" w:color="auto"/>
        <w:left w:val="none" w:sz="0" w:space="0" w:color="auto"/>
        <w:bottom w:val="none" w:sz="0" w:space="0" w:color="auto"/>
        <w:right w:val="none" w:sz="0" w:space="0" w:color="auto"/>
      </w:divBdr>
    </w:div>
    <w:div w:id="8722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ubs.rsna.org/author/Sechopoulos%2C+Ioannis" TargetMode="External"/><Relationship Id="rId18" Type="http://schemas.openxmlformats.org/officeDocument/2006/relationships/hyperlink" Target="https://www.ncbi.nlm.nih.gov/entrez/eutils/elink.fcgi?dbfrom=pubmed&amp;retmode=ref&amp;cmd=prlinks&amp;id=1805685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ubs.rsna.org/author/Karellas%2C+Andrew" TargetMode="External"/><Relationship Id="rId2" Type="http://schemas.openxmlformats.org/officeDocument/2006/relationships/customXml" Target="../customXml/item2.xml"/><Relationship Id="rId16" Type="http://schemas.openxmlformats.org/officeDocument/2006/relationships/hyperlink" Target="https://pubs.rsna.org/author/D%27Orsi%2C+Carl+J" TargetMode="External"/><Relationship Id="rId20" Type="http://schemas.openxmlformats.org/officeDocument/2006/relationships/hyperlink" Target="https://aapm.onlinelibrary.wiley.com/action/doSearch?ContribAuthorRaw=Druzhinina%2C+Pol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ubs.rsna.org/author/Vedantham%2C+Srinivasa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aapm.onlinelibrary.wiley.com/action/doSearch?ContribAuthorRaw=Golikov%2C+Vladisla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ubs.rsna.org/author/Suryanarayanan%2C+Sankararama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mat.oysnet.ppshp.fi\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1313</Value>
      <Value>821</Value>
      <Value>44</Value>
      <Value>42</Value>
      <Value>41</Value>
      <Value>1145</Value>
      <Value>617</Value>
      <Value>2419</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5.8.5 Sisäisten tukiprosessien ohjeet</TermName>
          <TermId xmlns="http://schemas.microsoft.com/office/infopath/2007/PartnerControls">c840b187-c6b9-4f89-9f13-b4c2e4405953</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false</Kuvantamisen_x0020_turvallisuusohje>
    <Dokumjentin_x0020_hyväksyjä xmlns="0af04246-5dcb-4e38-b8a1-4adaeb368127">
      <UserInfo>
        <DisplayName>i:0#.w|oysnet\nikkima</DisplayName>
        <AccountId>849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Säteilytyön ohje</TermName>
          <TermId xmlns="http://schemas.microsoft.com/office/infopath/2007/PartnerControls">bb63ec55-3404-4c43-8b7d-8bf524edece7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MUAVRSSTWASF-628417917-659</_dlc_DocId>
    <_dlc_DocIdUrl xmlns="d3e50268-7799-48af-83c3-9a9b063078bc">
      <Url>https://internet.oysnet.ppshp.fi/dokumentit/_layouts/15/DocIdRedir.aspx?ID=MUAVRSSTWASF-628417917-659</Url>
      <Description>MUAVRSSTWASF-628417917-659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e7d6957-b623-48c5-941b-77be73948d87" ContentTypeId="0x010100E993358E494F344F8D6048E76D09AF021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35773-6CF2-4493-997C-3AB37A3BD2F0}">
  <ds:schemaRefs>
    <ds:schemaRef ds:uri="http://schemas.microsoft.com/office/2006/documentManagement/types"/>
    <ds:schemaRef ds:uri="http://purl.org/dc/elements/1.1/"/>
    <ds:schemaRef ds:uri="http://schemas.microsoft.com/office/2006/metadata/properties"/>
    <ds:schemaRef ds:uri="d3e50268-7799-48af-83c3-9a9b063078bc"/>
    <ds:schemaRef ds:uri="http://schemas.microsoft.com/sharepoint/v3"/>
    <ds:schemaRef ds:uri="http://purl.org/dc/terms/"/>
    <ds:schemaRef ds:uri="http://schemas.microsoft.com/office/infopath/2007/PartnerControls"/>
    <ds:schemaRef ds:uri="http://schemas.openxmlformats.org/package/2006/metadata/core-properties"/>
    <ds:schemaRef ds:uri="0af04246-5dcb-4e38-b8a1-4adaeb368127"/>
    <ds:schemaRef ds:uri="http://www.w3.org/XML/1998/namespace"/>
    <ds:schemaRef ds:uri="http://purl.org/dc/dcmitype/"/>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5053CAA6-C112-481E-AD70-9936B2BFBA8D}"/>
</file>

<file path=customXml/itemProps4.xml><?xml version="1.0" encoding="utf-8"?>
<ds:datastoreItem xmlns:ds="http://schemas.openxmlformats.org/officeDocument/2006/customXml" ds:itemID="{47E4B157-B8FB-4702-BB9D-B86DB6E1E1B5}">
  <ds:schemaRefs>
    <ds:schemaRef ds:uri="Microsoft.SharePoint.Taxonomy.ContentTypeSync"/>
  </ds:schemaRefs>
</ds:datastoreItem>
</file>

<file path=customXml/itemProps5.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6.xml><?xml version="1.0" encoding="utf-8"?>
<ds:datastoreItem xmlns:ds="http://schemas.openxmlformats.org/officeDocument/2006/customXml" ds:itemID="{567AB586-FE05-4E35-9EEA-5C4B639EA0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12</Pages>
  <Words>3513</Words>
  <Characters>28460</Characters>
  <Application>Microsoft Office Word</Application>
  <DocSecurity>0</DocSecurity>
  <Lines>237</Lines>
  <Paragraphs>63</Paragraphs>
  <ScaleCrop>false</ScaleCrop>
  <HeadingPairs>
    <vt:vector size="2" baseType="variant">
      <vt:variant>
        <vt:lpstr>Otsikko</vt:lpstr>
      </vt:variant>
      <vt:variant>
        <vt:i4>1</vt:i4>
      </vt:variant>
    </vt:vector>
  </HeadingPairs>
  <TitlesOfParts>
    <vt:vector size="1" baseType="lpstr">
      <vt:lpstr>Pohjois-Pohjanmaan kuvantamisen röntgentoiminnan säteilyn käytön turvallisuusarvio</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Pohjois-Pohjanmaan kuvantamisen röntgentoiminnan säteilyn käytön turvallisuusarvio</dc:title>
  <dc:subject/>
  <dc:creator/>
  <cp:keywords/>
  <dc:description/>
  <cp:lastModifiedBy/>
  <cp:revision>1</cp:revision>
  <dcterms:created xsi:type="dcterms:W3CDTF">2025-01-10T06:46:00Z</dcterms:created>
  <dcterms:modified xsi:type="dcterms:W3CDTF">2025-04-08T10:57:00Z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1145;#Säteilytyön ohje|bb63ec55-3404-4c43-8b7d-8bf524edece7</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_dlc_DocIdItemGuid">
    <vt:lpwstr>5bdea146-0cbd-421b-b578-fce5a540843c</vt:lpwstr>
  </property>
  <property fmtid="{D5CDD505-2E9C-101B-9397-08002B2CF9AE}" pid="18" name="Kriisiviestintä">
    <vt:lpwstr/>
  </property>
  <property fmtid="{D5CDD505-2E9C-101B-9397-08002B2CF9AE}" pid="19" name="Kuvantamisen ohjeen elinryhmät (sisältötyypin metatieto)">
    <vt:lpwstr/>
  </property>
  <property fmtid="{D5CDD505-2E9C-101B-9397-08002B2CF9AE}" pid="20" name="Erikoisala">
    <vt:lpwstr>44;#radiologia (PPSHP)|347958ae-6fb2-4668-a725-1f6de5332102</vt:lpwstr>
  </property>
  <property fmtid="{D5CDD505-2E9C-101B-9397-08002B2CF9AE}" pid="21" name="Organisaatiotiedon tarkennus toiminnan mukaan">
    <vt:lpwstr/>
  </property>
  <property fmtid="{D5CDD505-2E9C-101B-9397-08002B2CF9AE}" pid="22" name="Toiminnanohjauskäsikirja">
    <vt:lpwstr>2419;#5.8.5 Sisäisten tukiprosessien ohjeet|c840b187-c6b9-4f89-9f13-b4c2e4405953</vt:lpwstr>
  </property>
  <property fmtid="{D5CDD505-2E9C-101B-9397-08002B2CF9AE}" pid="23" name="Kuvantamisen ohjeen tutkimusryhmät (sisältötyypin metatieto)">
    <vt:lpwstr>617;#Yleinen kuvantamisen ohje|e2b7b206-d2e3-4a37-82ab-5214084ee8de</vt:lpwstr>
  </property>
  <property fmtid="{D5CDD505-2E9C-101B-9397-08002B2CF9AE}" pid="24" name="Organisaatiotieto">
    <vt:lpwstr>41;#Kuvantaminen|13fd9652-4cc4-4c00-9faf-49cd9c600ecb</vt:lpwstr>
  </property>
  <property fmtid="{D5CDD505-2E9C-101B-9397-08002B2CF9AE}" pid="25" name="Kuvantamisen tilaaja vai menetelmä">
    <vt:lpwstr>1313;#Menetelmäohje|8d7551ed-f25f-4658-af35-e281bf9731e8</vt:lpwstr>
  </property>
  <property fmtid="{D5CDD505-2E9C-101B-9397-08002B2CF9AE}" pid="26" name="Toimenpidekoodit">
    <vt:lpwstr/>
  </property>
  <property fmtid="{D5CDD505-2E9C-101B-9397-08002B2CF9AE}" pid="27" name="MEO">
    <vt:lpwstr/>
  </property>
  <property fmtid="{D5CDD505-2E9C-101B-9397-08002B2CF9AE}" pid="28" name="Kohde- / työntekijäryhmä">
    <vt:lpwstr>42;#Potilaan hoitoon osallistuva henkilöstö|21074a2b-1b44-417e-9c72-4d731d4c7a78</vt:lpwstr>
  </property>
  <property fmtid="{D5CDD505-2E9C-101B-9397-08002B2CF9AE}" pid="29" name="Kohdeorganisaatio">
    <vt:lpwstr>41;#Kuvantaminen|13fd9652-4cc4-4c00-9faf-49cd9c600ecb</vt:lpwstr>
  </property>
  <property fmtid="{D5CDD505-2E9C-101B-9397-08002B2CF9AE}" pid="30" name="Order">
    <vt:r8>990000</vt:r8>
  </property>
  <property fmtid="{D5CDD505-2E9C-101B-9397-08002B2CF9AE}" pid="32" name="TaxKeywordTaxHTField">
    <vt:lpwstr/>
  </property>
  <property fmtid="{D5CDD505-2E9C-101B-9397-08002B2CF9AE}" pid="33" name="SharedWithUsers">
    <vt:lpwstr/>
  </property>
</Properties>
</file>